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D67065" w14:textId="77777777" w:rsidR="00426CC0" w:rsidRPr="001A205B" w:rsidRDefault="00426CC0" w:rsidP="005125F6">
      <w:pPr>
        <w:widowControl w:val="0"/>
        <w:autoSpaceDE w:val="0"/>
        <w:autoSpaceDN w:val="0"/>
        <w:adjustRightInd w:val="0"/>
        <w:spacing w:after="0" w:line="240" w:lineRule="auto"/>
        <w:jc w:val="center"/>
        <w:rPr>
          <w:rFonts w:eastAsiaTheme="minorEastAsia"/>
          <w:b/>
          <w:szCs w:val="24"/>
          <w:lang w:val="en-US"/>
        </w:rPr>
      </w:pPr>
      <w:bookmarkStart w:id="0" w:name="_Hlk4130499"/>
      <w:bookmarkStart w:id="1" w:name="_GoBack"/>
      <w:bookmarkEnd w:id="1"/>
    </w:p>
    <w:p w14:paraId="06A2B587" w14:textId="77777777" w:rsidR="000700BE" w:rsidRPr="0059317C" w:rsidRDefault="000700BE" w:rsidP="000700BE">
      <w:pPr>
        <w:widowControl w:val="0"/>
        <w:autoSpaceDE w:val="0"/>
        <w:autoSpaceDN w:val="0"/>
        <w:adjustRightInd w:val="0"/>
        <w:spacing w:after="0" w:line="240" w:lineRule="auto"/>
        <w:jc w:val="center"/>
        <w:rPr>
          <w:rFonts w:eastAsiaTheme="minorEastAsia"/>
          <w:b/>
          <w:szCs w:val="24"/>
          <w:lang w:val="en-US"/>
        </w:rPr>
      </w:pPr>
      <w:r w:rsidRPr="0059317C">
        <w:rPr>
          <w:rFonts w:eastAsiaTheme="minorEastAsia"/>
          <w:b/>
          <w:szCs w:val="24"/>
          <w:lang w:val="en-US"/>
        </w:rPr>
        <w:t>In Memoriam: Mrs. Joan Huntoon and Dr. Garman Harbottle</w:t>
      </w:r>
    </w:p>
    <w:p w14:paraId="2B1A9F90" w14:textId="77777777" w:rsidR="000700BE" w:rsidRPr="0059317C" w:rsidRDefault="000700BE" w:rsidP="000700BE">
      <w:pPr>
        <w:widowControl w:val="0"/>
        <w:autoSpaceDE w:val="0"/>
        <w:autoSpaceDN w:val="0"/>
        <w:adjustRightInd w:val="0"/>
        <w:spacing w:after="0" w:line="240" w:lineRule="auto"/>
        <w:jc w:val="center"/>
        <w:rPr>
          <w:rFonts w:eastAsiaTheme="minorEastAsia"/>
          <w:b/>
          <w:szCs w:val="24"/>
          <w:lang w:val="en-US"/>
        </w:rPr>
      </w:pPr>
    </w:p>
    <w:p w14:paraId="37680E89" w14:textId="77777777" w:rsidR="00426CC0" w:rsidRPr="0059317C" w:rsidRDefault="00DC46AF" w:rsidP="000700BE">
      <w:pPr>
        <w:widowControl w:val="0"/>
        <w:autoSpaceDE w:val="0"/>
        <w:autoSpaceDN w:val="0"/>
        <w:adjustRightInd w:val="0"/>
        <w:spacing w:after="0" w:line="240" w:lineRule="auto"/>
        <w:jc w:val="center"/>
        <w:rPr>
          <w:rFonts w:eastAsiaTheme="minorEastAsia"/>
          <w:b/>
          <w:szCs w:val="24"/>
          <w:lang w:val="en-US"/>
        </w:rPr>
      </w:pPr>
      <w:r w:rsidRPr="0059317C">
        <w:rPr>
          <w:rFonts w:eastAsiaTheme="minorEastAsia"/>
          <w:b/>
          <w:szCs w:val="24"/>
          <w:lang w:val="en-US"/>
        </w:rPr>
        <w:t>April , 2019: d</w:t>
      </w:r>
      <w:r w:rsidR="00426CC0" w:rsidRPr="0059317C">
        <w:rPr>
          <w:rFonts w:eastAsiaTheme="minorEastAsia"/>
          <w:b/>
          <w:szCs w:val="24"/>
          <w:lang w:val="en-US"/>
        </w:rPr>
        <w:t xml:space="preserve">ate of publication on-line at </w:t>
      </w:r>
      <w:hyperlink r:id="rId8" w:history="1">
        <w:r w:rsidRPr="0059317C">
          <w:rPr>
            <w:rStyle w:val="Hyperlink"/>
            <w:rFonts w:eastAsiaTheme="minorEastAsia"/>
            <w:b/>
            <w:szCs w:val="24"/>
            <w:lang w:val="en-US"/>
          </w:rPr>
          <w:t>https://www.barpublishing.com/</w:t>
        </w:r>
      </w:hyperlink>
      <w:r w:rsidRPr="0059317C">
        <w:rPr>
          <w:rFonts w:eastAsiaTheme="minorEastAsia"/>
          <w:b/>
          <w:szCs w:val="24"/>
          <w:lang w:val="en-US"/>
        </w:rPr>
        <w:t xml:space="preserve"> and</w:t>
      </w:r>
      <w:r w:rsidRPr="0059317C">
        <w:rPr>
          <w:b/>
        </w:rPr>
        <w:t xml:space="preserve"> </w:t>
      </w:r>
      <w:hyperlink r:id="rId9" w:history="1">
        <w:r w:rsidRPr="0059317C">
          <w:rPr>
            <w:rStyle w:val="Hyperlink"/>
            <w:rFonts w:eastAsiaTheme="minorEastAsia"/>
            <w:b/>
            <w:szCs w:val="24"/>
            <w:lang w:val="en-US"/>
          </w:rPr>
          <w:t>https://www.penn.museum/sites/biomoleculararchaeology/?page_id=435</w:t>
        </w:r>
      </w:hyperlink>
    </w:p>
    <w:p w14:paraId="2E027297" w14:textId="77777777" w:rsidR="000700BE" w:rsidRPr="0059317C" w:rsidRDefault="000700BE" w:rsidP="00426CC0">
      <w:pPr>
        <w:widowControl w:val="0"/>
        <w:autoSpaceDE w:val="0"/>
        <w:autoSpaceDN w:val="0"/>
        <w:adjustRightInd w:val="0"/>
        <w:spacing w:after="0" w:line="240" w:lineRule="auto"/>
        <w:rPr>
          <w:rFonts w:eastAsiaTheme="minorEastAsia"/>
          <w:b/>
          <w:szCs w:val="24"/>
          <w:lang w:val="en-US"/>
        </w:rPr>
      </w:pPr>
    </w:p>
    <w:p w14:paraId="2EF2D603" w14:textId="77777777" w:rsidR="005125F6" w:rsidRPr="0059317C" w:rsidRDefault="005125F6" w:rsidP="005125F6">
      <w:pPr>
        <w:widowControl w:val="0"/>
        <w:autoSpaceDE w:val="0"/>
        <w:autoSpaceDN w:val="0"/>
        <w:adjustRightInd w:val="0"/>
        <w:spacing w:after="0" w:line="240" w:lineRule="auto"/>
        <w:jc w:val="center"/>
        <w:rPr>
          <w:rFonts w:eastAsiaTheme="minorEastAsia"/>
          <w:b/>
          <w:szCs w:val="24"/>
          <w:lang w:val="en-US"/>
        </w:rPr>
      </w:pPr>
      <w:r w:rsidRPr="0059317C">
        <w:rPr>
          <w:rFonts w:eastAsiaTheme="minorEastAsia"/>
          <w:b/>
          <w:szCs w:val="24"/>
          <w:lang w:val="en-US"/>
        </w:rPr>
        <w:t>APPENDIX 4:</w:t>
      </w:r>
    </w:p>
    <w:p w14:paraId="3508EBAF" w14:textId="77777777" w:rsidR="005125F6" w:rsidRPr="0059317C" w:rsidRDefault="005125F6" w:rsidP="005125F6">
      <w:pPr>
        <w:widowControl w:val="0"/>
        <w:autoSpaceDE w:val="0"/>
        <w:autoSpaceDN w:val="0"/>
        <w:adjustRightInd w:val="0"/>
        <w:spacing w:after="0" w:line="240" w:lineRule="auto"/>
        <w:jc w:val="center"/>
        <w:rPr>
          <w:rFonts w:eastAsiaTheme="minorEastAsia"/>
          <w:b/>
          <w:szCs w:val="24"/>
          <w:lang w:val="en-US"/>
        </w:rPr>
      </w:pPr>
      <w:r w:rsidRPr="0059317C">
        <w:rPr>
          <w:rFonts w:eastAsiaTheme="minorEastAsia"/>
          <w:b/>
          <w:szCs w:val="24"/>
          <w:lang w:val="en-US"/>
        </w:rPr>
        <w:t>TELL EL-DAB`A POTTERY LINE-DRAWINGS TO ACCOMPANY APPENDIX 1</w:t>
      </w:r>
    </w:p>
    <w:p w14:paraId="32467410" w14:textId="7F4CEAEE" w:rsidR="00915C6E" w:rsidRPr="0059317C" w:rsidRDefault="00915C6E" w:rsidP="005125F6">
      <w:pPr>
        <w:widowControl w:val="0"/>
        <w:autoSpaceDE w:val="0"/>
        <w:autoSpaceDN w:val="0"/>
        <w:adjustRightInd w:val="0"/>
        <w:spacing w:after="0" w:line="240" w:lineRule="auto"/>
        <w:jc w:val="center"/>
        <w:rPr>
          <w:rFonts w:eastAsiaTheme="minorEastAsia"/>
          <w:b/>
          <w:szCs w:val="24"/>
          <w:lang w:val="en-US"/>
        </w:rPr>
      </w:pPr>
      <w:bookmarkStart w:id="2" w:name="_Hlk4130461"/>
      <w:r w:rsidRPr="0059317C">
        <w:rPr>
          <w:rFonts w:eastAsiaTheme="minorEastAsia"/>
          <w:b/>
          <w:szCs w:val="24"/>
          <w:lang w:val="en-US"/>
        </w:rPr>
        <w:t xml:space="preserve">WITH A PETROGRAPHIC ADDENDUM BY </w:t>
      </w:r>
      <w:r w:rsidR="00D56F1B" w:rsidRPr="0059317C">
        <w:rPr>
          <w:rFonts w:eastAsiaTheme="minorEastAsia"/>
          <w:b/>
          <w:szCs w:val="24"/>
          <w:lang w:val="en-US"/>
        </w:rPr>
        <w:t xml:space="preserve">DR. </w:t>
      </w:r>
      <w:r w:rsidRPr="0059317C">
        <w:rPr>
          <w:rFonts w:eastAsiaTheme="minorEastAsia"/>
          <w:b/>
          <w:szCs w:val="24"/>
          <w:lang w:val="en-US"/>
        </w:rPr>
        <w:t>CHRISTOPHER WNUK</w:t>
      </w:r>
    </w:p>
    <w:bookmarkEnd w:id="0"/>
    <w:bookmarkEnd w:id="2"/>
    <w:p w14:paraId="53DF5B55" w14:textId="77777777" w:rsidR="005125F6" w:rsidRPr="0059317C" w:rsidRDefault="005125F6" w:rsidP="005125F6">
      <w:pPr>
        <w:widowControl w:val="0"/>
        <w:autoSpaceDE w:val="0"/>
        <w:autoSpaceDN w:val="0"/>
        <w:adjustRightInd w:val="0"/>
        <w:spacing w:after="0" w:line="240" w:lineRule="auto"/>
        <w:jc w:val="center"/>
        <w:rPr>
          <w:rFonts w:eastAsiaTheme="minorEastAsia"/>
          <w:b/>
          <w:szCs w:val="20"/>
          <w:lang w:val="en-US"/>
        </w:rPr>
      </w:pPr>
    </w:p>
    <w:p w14:paraId="3ABFBDB2" w14:textId="77777777" w:rsidR="005125F6" w:rsidRPr="0059317C" w:rsidRDefault="005125F6" w:rsidP="005125F6">
      <w:pPr>
        <w:widowControl w:val="0"/>
        <w:autoSpaceDE w:val="0"/>
        <w:autoSpaceDN w:val="0"/>
        <w:adjustRightInd w:val="0"/>
        <w:spacing w:after="0" w:line="240" w:lineRule="auto"/>
        <w:jc w:val="center"/>
        <w:rPr>
          <w:rFonts w:eastAsiaTheme="minorEastAsia"/>
          <w:b/>
          <w:i/>
          <w:szCs w:val="24"/>
          <w:lang w:val="en-US"/>
        </w:rPr>
      </w:pPr>
      <w:r w:rsidRPr="0059317C">
        <w:rPr>
          <w:rFonts w:eastAsiaTheme="minorEastAsia"/>
          <w:b/>
          <w:i/>
          <w:szCs w:val="24"/>
          <w:lang w:val="en-US"/>
        </w:rPr>
        <w:t>The Foreign Relations of the "Hyksos":</w:t>
      </w:r>
    </w:p>
    <w:p w14:paraId="68DD2C21" w14:textId="77777777" w:rsidR="005125F6" w:rsidRPr="0059317C" w:rsidRDefault="005125F6" w:rsidP="005125F6">
      <w:pPr>
        <w:widowControl w:val="0"/>
        <w:autoSpaceDE w:val="0"/>
        <w:autoSpaceDN w:val="0"/>
        <w:adjustRightInd w:val="0"/>
        <w:spacing w:after="0" w:line="240" w:lineRule="auto"/>
        <w:jc w:val="center"/>
        <w:rPr>
          <w:rFonts w:eastAsiaTheme="minorEastAsia"/>
          <w:b/>
          <w:i/>
          <w:szCs w:val="24"/>
          <w:lang w:val="en-US"/>
        </w:rPr>
      </w:pPr>
      <w:r w:rsidRPr="0059317C">
        <w:rPr>
          <w:rFonts w:eastAsiaTheme="minorEastAsia"/>
          <w:b/>
          <w:i/>
          <w:szCs w:val="24"/>
          <w:lang w:val="en-US"/>
        </w:rPr>
        <w:t>A Neutron Activation Study of Middle Bronze Age Pottery</w:t>
      </w:r>
    </w:p>
    <w:p w14:paraId="07F2DF5C" w14:textId="77777777" w:rsidR="005125F6" w:rsidRPr="0059317C" w:rsidRDefault="005125F6" w:rsidP="005125F6">
      <w:pPr>
        <w:widowControl w:val="0"/>
        <w:autoSpaceDE w:val="0"/>
        <w:autoSpaceDN w:val="0"/>
        <w:adjustRightInd w:val="0"/>
        <w:spacing w:after="0" w:line="240" w:lineRule="auto"/>
        <w:jc w:val="center"/>
        <w:rPr>
          <w:rFonts w:eastAsiaTheme="minorEastAsia"/>
          <w:b/>
          <w:szCs w:val="24"/>
          <w:lang w:val="en-US"/>
        </w:rPr>
      </w:pPr>
      <w:r w:rsidRPr="0059317C">
        <w:rPr>
          <w:rFonts w:eastAsiaTheme="minorEastAsia"/>
          <w:b/>
          <w:i/>
          <w:szCs w:val="24"/>
          <w:lang w:val="en-US"/>
        </w:rPr>
        <w:t>from the Eastern Mediterranean</w:t>
      </w:r>
      <w:r w:rsidRPr="0059317C">
        <w:rPr>
          <w:rFonts w:eastAsiaTheme="minorEastAsia"/>
          <w:b/>
          <w:szCs w:val="24"/>
          <w:lang w:val="en-US"/>
        </w:rPr>
        <w:t xml:space="preserve"> </w:t>
      </w:r>
    </w:p>
    <w:p w14:paraId="0B6F7915" w14:textId="77777777" w:rsidR="005125F6" w:rsidRPr="0059317C" w:rsidRDefault="005125F6" w:rsidP="005125F6">
      <w:pPr>
        <w:widowControl w:val="0"/>
        <w:autoSpaceDE w:val="0"/>
        <w:autoSpaceDN w:val="0"/>
        <w:adjustRightInd w:val="0"/>
        <w:spacing w:after="0" w:line="240" w:lineRule="auto"/>
        <w:jc w:val="center"/>
        <w:rPr>
          <w:rFonts w:eastAsiaTheme="minorEastAsia"/>
          <w:b/>
          <w:szCs w:val="24"/>
          <w:lang w:val="en-US"/>
        </w:rPr>
      </w:pPr>
      <w:r w:rsidRPr="0059317C">
        <w:rPr>
          <w:rFonts w:eastAsiaTheme="minorEastAsia"/>
          <w:b/>
          <w:szCs w:val="24"/>
          <w:lang w:val="en-US"/>
        </w:rPr>
        <w:t>by</w:t>
      </w:r>
    </w:p>
    <w:p w14:paraId="4E84D7FF" w14:textId="77777777" w:rsidR="005125F6" w:rsidRPr="0059317C" w:rsidRDefault="005125F6" w:rsidP="005125F6">
      <w:pPr>
        <w:widowControl w:val="0"/>
        <w:autoSpaceDE w:val="0"/>
        <w:autoSpaceDN w:val="0"/>
        <w:adjustRightInd w:val="0"/>
        <w:spacing w:after="0" w:line="240" w:lineRule="auto"/>
        <w:jc w:val="center"/>
        <w:rPr>
          <w:rFonts w:eastAsiaTheme="minorEastAsia"/>
          <w:b/>
          <w:szCs w:val="24"/>
          <w:lang w:val="en-US"/>
        </w:rPr>
      </w:pPr>
      <w:r w:rsidRPr="0059317C">
        <w:rPr>
          <w:rFonts w:eastAsiaTheme="minorEastAsia"/>
          <w:b/>
          <w:szCs w:val="24"/>
          <w:lang w:val="en-US"/>
        </w:rPr>
        <w:t>Patrick E. McGovern, with a contribution by Tine Bagh</w:t>
      </w:r>
    </w:p>
    <w:p w14:paraId="595F2268" w14:textId="77777777" w:rsidR="005125F6" w:rsidRPr="0059317C" w:rsidRDefault="005125F6" w:rsidP="005125F6">
      <w:pPr>
        <w:widowControl w:val="0"/>
        <w:autoSpaceDE w:val="0"/>
        <w:autoSpaceDN w:val="0"/>
        <w:adjustRightInd w:val="0"/>
        <w:spacing w:after="0" w:line="240" w:lineRule="auto"/>
        <w:jc w:val="center"/>
        <w:rPr>
          <w:rFonts w:eastAsiaTheme="minorEastAsia"/>
          <w:b/>
          <w:szCs w:val="24"/>
          <w:lang w:val="en-US"/>
        </w:rPr>
      </w:pPr>
    </w:p>
    <w:p w14:paraId="31B7E8A4" w14:textId="77777777" w:rsidR="005125F6" w:rsidRPr="0059317C" w:rsidRDefault="005125F6" w:rsidP="005125F6">
      <w:pPr>
        <w:widowControl w:val="0"/>
        <w:autoSpaceDE w:val="0"/>
        <w:autoSpaceDN w:val="0"/>
        <w:adjustRightInd w:val="0"/>
        <w:spacing w:after="0" w:line="240" w:lineRule="auto"/>
        <w:jc w:val="center"/>
        <w:rPr>
          <w:rFonts w:eastAsiaTheme="minorEastAsia"/>
          <w:b/>
          <w:szCs w:val="24"/>
          <w:lang w:val="en-US"/>
        </w:rPr>
      </w:pPr>
      <w:r w:rsidRPr="0059317C">
        <w:rPr>
          <w:rFonts w:eastAsiaTheme="minorEastAsia"/>
          <w:b/>
          <w:szCs w:val="24"/>
          <w:lang w:val="en-US"/>
        </w:rPr>
        <w:t>BAR International Series 888</w:t>
      </w:r>
    </w:p>
    <w:p w14:paraId="7764B4E4" w14:textId="77777777" w:rsidR="005125F6" w:rsidRPr="0059317C" w:rsidRDefault="005125F6" w:rsidP="005125F6">
      <w:pPr>
        <w:widowControl w:val="0"/>
        <w:autoSpaceDE w:val="0"/>
        <w:autoSpaceDN w:val="0"/>
        <w:adjustRightInd w:val="0"/>
        <w:spacing w:after="0" w:line="240" w:lineRule="auto"/>
        <w:jc w:val="center"/>
        <w:rPr>
          <w:rFonts w:eastAsiaTheme="minorEastAsia"/>
          <w:b/>
          <w:szCs w:val="24"/>
          <w:lang w:val="en-US"/>
        </w:rPr>
      </w:pPr>
      <w:r w:rsidRPr="0059317C">
        <w:rPr>
          <w:rFonts w:eastAsiaTheme="minorEastAsia"/>
          <w:b/>
          <w:szCs w:val="24"/>
          <w:lang w:val="en-US"/>
        </w:rPr>
        <w:t>Oxford: Archaeopress, 2000</w:t>
      </w:r>
    </w:p>
    <w:p w14:paraId="6D7C7C72" w14:textId="77777777" w:rsidR="005125F6" w:rsidRPr="0059317C" w:rsidRDefault="005125F6" w:rsidP="005125F6">
      <w:pPr>
        <w:widowControl w:val="0"/>
        <w:autoSpaceDE w:val="0"/>
        <w:autoSpaceDN w:val="0"/>
        <w:adjustRightInd w:val="0"/>
        <w:spacing w:after="0" w:line="240" w:lineRule="auto"/>
        <w:rPr>
          <w:rFonts w:eastAsiaTheme="minorEastAsia"/>
          <w:b/>
          <w:szCs w:val="20"/>
          <w:lang w:val="en-US"/>
        </w:rPr>
      </w:pPr>
    </w:p>
    <w:p w14:paraId="5BBF17B9" w14:textId="2BA11B9A" w:rsidR="005125F6" w:rsidRPr="0059317C" w:rsidRDefault="005125F6" w:rsidP="00E634F1">
      <w:pPr>
        <w:widowControl w:val="0"/>
        <w:autoSpaceDE w:val="0"/>
        <w:autoSpaceDN w:val="0"/>
        <w:adjustRightInd w:val="0"/>
        <w:spacing w:after="0" w:line="240" w:lineRule="auto"/>
        <w:rPr>
          <w:rFonts w:eastAsiaTheme="minorEastAsia"/>
          <w:szCs w:val="20"/>
          <w:lang w:val="en-US"/>
        </w:rPr>
      </w:pPr>
      <w:r w:rsidRPr="0059317C">
        <w:rPr>
          <w:rFonts w:eastAsiaTheme="minorEastAsia"/>
          <w:szCs w:val="20"/>
          <w:lang w:val="en-US"/>
        </w:rPr>
        <w:t xml:space="preserve">As explained in the Preface (p. iii) and the “Illustrations and Sample Data” guidelines (p. 98) to this book, Dr. Manfred Bietak </w:t>
      </w:r>
      <w:r w:rsidR="00B6064F">
        <w:rPr>
          <w:rFonts w:eastAsiaTheme="minorEastAsia"/>
          <w:szCs w:val="20"/>
          <w:lang w:val="en-US"/>
        </w:rPr>
        <w:t xml:space="preserve">was first given </w:t>
      </w:r>
      <w:r w:rsidRPr="0059317C">
        <w:rPr>
          <w:rFonts w:eastAsiaTheme="minorEastAsia"/>
          <w:szCs w:val="20"/>
          <w:lang w:val="en-US"/>
        </w:rPr>
        <w:t>the opportunity to publish the line-drawings of the pottery analyzed by Neutron Activation Analysis (NAA) from Tell el-Dab`a (Appendix 1)</w:t>
      </w:r>
      <w:r w:rsidR="00B6064F">
        <w:rPr>
          <w:rFonts w:eastAsiaTheme="minorEastAsia"/>
          <w:szCs w:val="20"/>
          <w:lang w:val="en-US"/>
        </w:rPr>
        <w:t xml:space="preserve">.  He has now </w:t>
      </w:r>
      <w:r w:rsidR="00B36027">
        <w:rPr>
          <w:rFonts w:eastAsiaTheme="minorEastAsia"/>
          <w:szCs w:val="20"/>
          <w:lang w:val="en-US"/>
        </w:rPr>
        <w:t xml:space="preserve">largely </w:t>
      </w:r>
      <w:r w:rsidR="00B6064F">
        <w:rPr>
          <w:rFonts w:eastAsiaTheme="minorEastAsia"/>
          <w:szCs w:val="20"/>
          <w:lang w:val="en-US"/>
        </w:rPr>
        <w:t>accomplished this</w:t>
      </w:r>
      <w:r w:rsidRPr="0059317C">
        <w:rPr>
          <w:rFonts w:eastAsiaTheme="minorEastAsia"/>
          <w:szCs w:val="20"/>
          <w:lang w:val="en-US"/>
        </w:rPr>
        <w:t xml:space="preserve"> in his ongoing multi-volume series devoted to the </w:t>
      </w:r>
      <w:r w:rsidR="0081038F">
        <w:rPr>
          <w:rFonts w:eastAsiaTheme="minorEastAsia"/>
          <w:szCs w:val="20"/>
          <w:lang w:val="en-US"/>
        </w:rPr>
        <w:t xml:space="preserve">site’s </w:t>
      </w:r>
      <w:r w:rsidRPr="0059317C">
        <w:rPr>
          <w:rFonts w:eastAsiaTheme="minorEastAsia"/>
          <w:szCs w:val="20"/>
          <w:lang w:val="en-US"/>
        </w:rPr>
        <w:t>excavation</w:t>
      </w:r>
      <w:r w:rsidR="00E634F1">
        <w:rPr>
          <w:rFonts w:eastAsiaTheme="minorEastAsia"/>
          <w:szCs w:val="20"/>
          <w:lang w:val="en-US"/>
        </w:rPr>
        <w:t xml:space="preserve">, viz., </w:t>
      </w:r>
      <w:r w:rsidR="00E634F1" w:rsidRPr="00907082">
        <w:rPr>
          <w:rFonts w:eastAsiaTheme="minorEastAsia"/>
          <w:i/>
          <w:szCs w:val="20"/>
          <w:lang w:val="en-US"/>
        </w:rPr>
        <w:t>Tell el-Dab'a</w:t>
      </w:r>
      <w:r w:rsidR="00E64141">
        <w:rPr>
          <w:rFonts w:eastAsiaTheme="minorEastAsia"/>
          <w:szCs w:val="20"/>
          <w:lang w:val="en-US"/>
        </w:rPr>
        <w:t xml:space="preserve">, </w:t>
      </w:r>
      <w:r w:rsidR="00E64141" w:rsidRPr="00B36027">
        <w:rPr>
          <w:rFonts w:eastAsiaTheme="minorEastAsia"/>
          <w:szCs w:val="20"/>
          <w:lang w:val="en-US"/>
        </w:rPr>
        <w:t>Untersuchungen der Zweigstelle Kairo des Österreichischen Archäologischen Instituts</w:t>
      </w:r>
      <w:r w:rsidR="00E64141">
        <w:rPr>
          <w:rFonts w:eastAsiaTheme="minorEastAsia"/>
          <w:szCs w:val="20"/>
          <w:lang w:val="en-US"/>
        </w:rPr>
        <w:t>, vols.</w:t>
      </w:r>
      <w:r w:rsidR="00E64141" w:rsidRPr="0059317C">
        <w:rPr>
          <w:rFonts w:eastAsiaTheme="minorEastAsia"/>
          <w:szCs w:val="20"/>
          <w:lang w:val="en-US"/>
        </w:rPr>
        <w:t xml:space="preserve"> V</w:t>
      </w:r>
      <w:r w:rsidR="00115BB6">
        <w:rPr>
          <w:rFonts w:eastAsiaTheme="minorEastAsia"/>
          <w:szCs w:val="20"/>
          <w:lang w:val="en-US"/>
        </w:rPr>
        <w:t xml:space="preserve"> (</w:t>
      </w:r>
      <w:r w:rsidR="00850CD3">
        <w:rPr>
          <w:rFonts w:eastAsiaTheme="minorEastAsia"/>
          <w:szCs w:val="20"/>
          <w:lang w:val="en-US"/>
        </w:rPr>
        <w:t>199</w:t>
      </w:r>
      <w:r w:rsidR="00C2170B">
        <w:rPr>
          <w:rFonts w:eastAsiaTheme="minorEastAsia"/>
          <w:szCs w:val="20"/>
          <w:lang w:val="en-US"/>
        </w:rPr>
        <w:t>2</w:t>
      </w:r>
      <w:r w:rsidR="00115BB6">
        <w:rPr>
          <w:rFonts w:eastAsiaTheme="minorEastAsia"/>
          <w:szCs w:val="20"/>
          <w:lang w:val="en-US"/>
        </w:rPr>
        <w:t>)</w:t>
      </w:r>
      <w:r w:rsidR="00E64141" w:rsidRPr="0059317C">
        <w:rPr>
          <w:rFonts w:eastAsiaTheme="minorEastAsia"/>
          <w:szCs w:val="20"/>
          <w:lang w:val="en-US"/>
        </w:rPr>
        <w:t>, VIII</w:t>
      </w:r>
      <w:r w:rsidR="00115BB6">
        <w:rPr>
          <w:rFonts w:eastAsiaTheme="minorEastAsia"/>
          <w:szCs w:val="20"/>
          <w:lang w:val="en-US"/>
        </w:rPr>
        <w:t xml:space="preserve"> (</w:t>
      </w:r>
      <w:r w:rsidR="00115BB6" w:rsidRPr="00E634F1">
        <w:rPr>
          <w:rFonts w:eastAsiaTheme="minorEastAsia"/>
          <w:szCs w:val="20"/>
          <w:lang w:val="en-US"/>
        </w:rPr>
        <w:t>2012</w:t>
      </w:r>
      <w:r w:rsidR="00115BB6">
        <w:rPr>
          <w:rFonts w:eastAsiaTheme="minorEastAsia"/>
          <w:szCs w:val="20"/>
          <w:lang w:val="en-US"/>
        </w:rPr>
        <w:t>)</w:t>
      </w:r>
      <w:r w:rsidR="00E64141" w:rsidRPr="0059317C">
        <w:rPr>
          <w:rFonts w:eastAsiaTheme="minorEastAsia"/>
          <w:szCs w:val="20"/>
          <w:lang w:val="en-US"/>
        </w:rPr>
        <w:t>, XII</w:t>
      </w:r>
      <w:r w:rsidR="008D0816">
        <w:rPr>
          <w:rFonts w:eastAsiaTheme="minorEastAsia"/>
          <w:szCs w:val="20"/>
          <w:lang w:val="en-US"/>
        </w:rPr>
        <w:t xml:space="preserve"> (</w:t>
      </w:r>
      <w:r w:rsidR="008D0816" w:rsidRPr="00E634F1">
        <w:rPr>
          <w:rFonts w:eastAsiaTheme="minorEastAsia"/>
          <w:szCs w:val="20"/>
          <w:lang w:val="en-US"/>
        </w:rPr>
        <w:t>2004</w:t>
      </w:r>
      <w:r w:rsidR="008D0816">
        <w:rPr>
          <w:rFonts w:eastAsiaTheme="minorEastAsia"/>
          <w:szCs w:val="20"/>
          <w:lang w:val="en-US"/>
        </w:rPr>
        <w:t>)</w:t>
      </w:r>
      <w:r w:rsidR="00E64141" w:rsidRPr="0059317C">
        <w:rPr>
          <w:rFonts w:eastAsiaTheme="minorEastAsia"/>
          <w:szCs w:val="20"/>
          <w:lang w:val="en-US"/>
        </w:rPr>
        <w:t>, XX</w:t>
      </w:r>
      <w:r w:rsidR="00115BB6">
        <w:rPr>
          <w:rFonts w:eastAsiaTheme="minorEastAsia"/>
          <w:szCs w:val="20"/>
          <w:lang w:val="en-US"/>
        </w:rPr>
        <w:t xml:space="preserve"> (</w:t>
      </w:r>
      <w:r w:rsidR="00115BB6" w:rsidRPr="00E634F1">
        <w:rPr>
          <w:rFonts w:eastAsiaTheme="minorEastAsia"/>
          <w:szCs w:val="20"/>
          <w:lang w:val="en-US"/>
        </w:rPr>
        <w:t>2010</w:t>
      </w:r>
      <w:r w:rsidR="00115BB6">
        <w:rPr>
          <w:rFonts w:eastAsiaTheme="minorEastAsia"/>
          <w:szCs w:val="20"/>
          <w:lang w:val="en-US"/>
        </w:rPr>
        <w:t>)</w:t>
      </w:r>
      <w:r w:rsidR="00E64141" w:rsidRPr="0059317C">
        <w:rPr>
          <w:rFonts w:eastAsiaTheme="minorEastAsia"/>
          <w:szCs w:val="20"/>
          <w:lang w:val="en-US"/>
        </w:rPr>
        <w:t>, and XXIII</w:t>
      </w:r>
      <w:r w:rsidR="00115334">
        <w:rPr>
          <w:rFonts w:eastAsiaTheme="minorEastAsia"/>
          <w:szCs w:val="20"/>
          <w:lang w:val="en-US"/>
        </w:rPr>
        <w:t xml:space="preserve"> </w:t>
      </w:r>
      <w:r w:rsidR="00C012B4">
        <w:rPr>
          <w:rFonts w:eastAsiaTheme="minorEastAsia"/>
          <w:szCs w:val="20"/>
          <w:lang w:val="en-US"/>
        </w:rPr>
        <w:t>(2013)</w:t>
      </w:r>
      <w:r w:rsidR="00115BB6">
        <w:rPr>
          <w:rFonts w:eastAsiaTheme="minorEastAsia"/>
          <w:szCs w:val="20"/>
          <w:lang w:val="en-US"/>
        </w:rPr>
        <w:t>,</w:t>
      </w:r>
      <w:r w:rsidR="00F15D58">
        <w:rPr>
          <w:rFonts w:eastAsiaTheme="minorEastAsia"/>
          <w:szCs w:val="20"/>
          <w:lang w:val="en-US"/>
        </w:rPr>
        <w:t xml:space="preserve"> </w:t>
      </w:r>
      <w:r w:rsidR="00F15D58" w:rsidRPr="00F15D58">
        <w:rPr>
          <w:rFonts w:eastAsiaTheme="minorEastAsia"/>
          <w:szCs w:val="20"/>
          <w:lang w:val="en-US"/>
        </w:rPr>
        <w:t>Denkschriften der Gesamtakademie</w:t>
      </w:r>
      <w:r w:rsidR="00F15D58">
        <w:rPr>
          <w:rFonts w:eastAsiaTheme="minorEastAsia"/>
          <w:szCs w:val="20"/>
          <w:lang w:val="en-US"/>
        </w:rPr>
        <w:t>,</w:t>
      </w:r>
      <w:r w:rsidR="00E64141" w:rsidRPr="00E634F1">
        <w:rPr>
          <w:rFonts w:eastAsiaTheme="minorEastAsia"/>
          <w:szCs w:val="20"/>
          <w:lang w:val="en-US"/>
        </w:rPr>
        <w:t xml:space="preserve"> </w:t>
      </w:r>
      <w:r w:rsidR="00C012B4">
        <w:rPr>
          <w:rFonts w:eastAsiaTheme="minorEastAsia"/>
          <w:szCs w:val="20"/>
          <w:lang w:val="en-US"/>
        </w:rPr>
        <w:t>Austrian Academy of Sciences</w:t>
      </w:r>
      <w:r w:rsidR="00115BB6">
        <w:rPr>
          <w:rFonts w:eastAsiaTheme="minorEastAsia"/>
          <w:szCs w:val="20"/>
          <w:lang w:val="en-US"/>
        </w:rPr>
        <w:t>, Vienna</w:t>
      </w:r>
      <w:r w:rsidR="00C012B4">
        <w:rPr>
          <w:rFonts w:eastAsiaTheme="minorEastAsia"/>
          <w:szCs w:val="20"/>
          <w:lang w:val="en-US"/>
        </w:rPr>
        <w:t xml:space="preserve">.  </w:t>
      </w:r>
      <w:r w:rsidR="00B6064F">
        <w:rPr>
          <w:rFonts w:eastAsiaTheme="minorEastAsia"/>
          <w:szCs w:val="20"/>
          <w:lang w:val="en-US"/>
        </w:rPr>
        <w:t xml:space="preserve">The figures are </w:t>
      </w:r>
      <w:r w:rsidR="00563219">
        <w:rPr>
          <w:rFonts w:eastAsiaTheme="minorEastAsia"/>
          <w:szCs w:val="20"/>
          <w:lang w:val="en-US"/>
        </w:rPr>
        <w:t>here</w:t>
      </w:r>
      <w:r w:rsidR="00B6064F">
        <w:rPr>
          <w:rFonts w:eastAsiaTheme="minorEastAsia"/>
          <w:szCs w:val="20"/>
          <w:lang w:val="en-US"/>
        </w:rPr>
        <w:t xml:space="preserve"> made available </w:t>
      </w:r>
      <w:r w:rsidR="00B6064F" w:rsidRPr="0059317C">
        <w:rPr>
          <w:rFonts w:eastAsiaTheme="minorEastAsia"/>
          <w:szCs w:val="20"/>
          <w:lang w:val="en-US"/>
        </w:rPr>
        <w:t>in their entirety, so that they can be more easily consulted</w:t>
      </w:r>
      <w:r w:rsidR="006347E2">
        <w:rPr>
          <w:rFonts w:eastAsiaTheme="minorEastAsia"/>
          <w:szCs w:val="20"/>
          <w:lang w:val="en-US"/>
        </w:rPr>
        <w:t xml:space="preserve"> </w:t>
      </w:r>
      <w:r w:rsidR="00B6064F">
        <w:rPr>
          <w:rFonts w:eastAsiaTheme="minorEastAsia"/>
          <w:szCs w:val="20"/>
          <w:lang w:val="en-US"/>
        </w:rPr>
        <w:t>by</w:t>
      </w:r>
      <w:r w:rsidRPr="0059317C">
        <w:rPr>
          <w:rFonts w:eastAsiaTheme="minorEastAsia"/>
          <w:szCs w:val="20"/>
          <w:lang w:val="en-US"/>
        </w:rPr>
        <w:t xml:space="preserve"> the reader</w:t>
      </w:r>
      <w:r w:rsidR="0043614B">
        <w:rPr>
          <w:rFonts w:eastAsiaTheme="minorEastAsia"/>
          <w:szCs w:val="20"/>
          <w:lang w:val="en-US"/>
        </w:rPr>
        <w:t xml:space="preserve">. </w:t>
      </w:r>
      <w:r w:rsidRPr="0059317C">
        <w:rPr>
          <w:rFonts w:eastAsiaTheme="minorEastAsia"/>
          <w:szCs w:val="20"/>
          <w:lang w:val="en-US"/>
        </w:rPr>
        <w:t xml:space="preserve"> </w:t>
      </w:r>
      <w:r w:rsidR="00234597">
        <w:rPr>
          <w:rFonts w:eastAsiaTheme="minorEastAsia"/>
          <w:szCs w:val="20"/>
          <w:lang w:val="en-US"/>
        </w:rPr>
        <w:t>Four</w:t>
      </w:r>
      <w:r w:rsidR="007F7D32" w:rsidRPr="0059317C">
        <w:rPr>
          <w:rFonts w:eastAsiaTheme="minorEastAsia"/>
          <w:szCs w:val="20"/>
          <w:lang w:val="en-US"/>
        </w:rPr>
        <w:t xml:space="preserve"> reviewers </w:t>
      </w:r>
      <w:r w:rsidR="0037266B" w:rsidRPr="0059317C">
        <w:rPr>
          <w:rFonts w:eastAsiaTheme="minorEastAsia"/>
          <w:szCs w:val="20"/>
          <w:lang w:val="en-US"/>
        </w:rPr>
        <w:t>explicitly pointed out</w:t>
      </w:r>
      <w:r w:rsidR="00856897" w:rsidRPr="0059317C">
        <w:rPr>
          <w:rFonts w:eastAsiaTheme="minorEastAsia"/>
          <w:szCs w:val="20"/>
          <w:lang w:val="en-US"/>
        </w:rPr>
        <w:t xml:space="preserve"> </w:t>
      </w:r>
      <w:r w:rsidR="008D0816">
        <w:rPr>
          <w:rFonts w:eastAsiaTheme="minorEastAsia"/>
          <w:szCs w:val="20"/>
          <w:lang w:val="en-US"/>
        </w:rPr>
        <w:t xml:space="preserve">that </w:t>
      </w:r>
      <w:r w:rsidR="00856897" w:rsidRPr="0059317C">
        <w:rPr>
          <w:rFonts w:eastAsiaTheme="minorEastAsia"/>
          <w:szCs w:val="20"/>
          <w:lang w:val="en-US"/>
        </w:rPr>
        <w:t>th</w:t>
      </w:r>
      <w:r w:rsidR="0043614B">
        <w:rPr>
          <w:rFonts w:eastAsiaTheme="minorEastAsia"/>
          <w:szCs w:val="20"/>
          <w:lang w:val="en-US"/>
        </w:rPr>
        <w:t>e</w:t>
      </w:r>
      <w:r w:rsidR="00856897" w:rsidRPr="0059317C">
        <w:rPr>
          <w:rFonts w:eastAsiaTheme="minorEastAsia"/>
          <w:szCs w:val="20"/>
          <w:lang w:val="en-US"/>
        </w:rPr>
        <w:t xml:space="preserve"> omission </w:t>
      </w:r>
      <w:r w:rsidR="0043614B">
        <w:rPr>
          <w:rFonts w:eastAsiaTheme="minorEastAsia"/>
          <w:szCs w:val="20"/>
          <w:lang w:val="en-US"/>
        </w:rPr>
        <w:t xml:space="preserve">of the figures </w:t>
      </w:r>
      <w:r w:rsidR="00856897" w:rsidRPr="0059317C">
        <w:rPr>
          <w:rFonts w:eastAsiaTheme="minorEastAsia"/>
          <w:szCs w:val="20"/>
          <w:lang w:val="en-US"/>
        </w:rPr>
        <w:t xml:space="preserve">impeded </w:t>
      </w:r>
      <w:r w:rsidR="00573263" w:rsidRPr="0059317C">
        <w:rPr>
          <w:rFonts w:eastAsiaTheme="minorEastAsia"/>
          <w:szCs w:val="20"/>
          <w:lang w:val="en-US"/>
        </w:rPr>
        <w:t>the</w:t>
      </w:r>
      <w:r w:rsidR="00C15B38">
        <w:rPr>
          <w:rFonts w:eastAsiaTheme="minorEastAsia"/>
          <w:szCs w:val="20"/>
          <w:lang w:val="en-US"/>
        </w:rPr>
        <w:t>ir</w:t>
      </w:r>
      <w:r w:rsidR="00573263" w:rsidRPr="0059317C">
        <w:rPr>
          <w:rFonts w:eastAsiaTheme="minorEastAsia"/>
          <w:szCs w:val="20"/>
          <w:lang w:val="en-US"/>
        </w:rPr>
        <w:t xml:space="preserve"> use of the volume</w:t>
      </w:r>
      <w:r w:rsidR="0037266B" w:rsidRPr="0059317C">
        <w:rPr>
          <w:rFonts w:eastAsiaTheme="minorEastAsia"/>
          <w:szCs w:val="20"/>
          <w:lang w:val="en-US"/>
        </w:rPr>
        <w:t>.</w:t>
      </w:r>
      <w:bookmarkStart w:id="3" w:name="_Ref6063660"/>
      <w:r w:rsidR="0037266B" w:rsidRPr="0059317C">
        <w:rPr>
          <w:rStyle w:val="FootnoteReference"/>
          <w:rFonts w:eastAsiaTheme="minorEastAsia"/>
          <w:szCs w:val="20"/>
          <w:lang w:val="en-US"/>
        </w:rPr>
        <w:footnoteReference w:id="1"/>
      </w:r>
      <w:bookmarkEnd w:id="3"/>
    </w:p>
    <w:p w14:paraId="4CFE0D37" w14:textId="77777777" w:rsidR="00362BC2" w:rsidRPr="0059317C" w:rsidRDefault="00362BC2" w:rsidP="005125F6">
      <w:pPr>
        <w:widowControl w:val="0"/>
        <w:autoSpaceDE w:val="0"/>
        <w:autoSpaceDN w:val="0"/>
        <w:adjustRightInd w:val="0"/>
        <w:spacing w:after="0" w:line="240" w:lineRule="auto"/>
        <w:rPr>
          <w:rFonts w:eastAsiaTheme="minorEastAsia"/>
          <w:szCs w:val="20"/>
          <w:lang w:val="en-US"/>
        </w:rPr>
      </w:pPr>
    </w:p>
    <w:p w14:paraId="494DDE3B" w14:textId="77777777" w:rsidR="00AD4F2E" w:rsidRPr="00AD4F2E" w:rsidRDefault="00AD4F2E" w:rsidP="00AD4F2E">
      <w:pPr>
        <w:widowControl w:val="0"/>
        <w:autoSpaceDE w:val="0"/>
        <w:autoSpaceDN w:val="0"/>
        <w:adjustRightInd w:val="0"/>
        <w:spacing w:after="0" w:line="240" w:lineRule="auto"/>
        <w:rPr>
          <w:rFonts w:eastAsiaTheme="minorEastAsia"/>
          <w:b/>
          <w:szCs w:val="24"/>
          <w:lang w:val="en-US"/>
        </w:rPr>
      </w:pPr>
      <w:r w:rsidRPr="00AD4F2E">
        <w:rPr>
          <w:rFonts w:eastAsiaTheme="minorEastAsia"/>
          <w:b/>
          <w:szCs w:val="24"/>
          <w:lang w:val="en-US"/>
        </w:rPr>
        <w:t>New Findings and Hypothesis Testing</w:t>
      </w:r>
    </w:p>
    <w:p w14:paraId="4B5362D0" w14:textId="77777777" w:rsidR="00AD4F2E" w:rsidRDefault="00AD4F2E" w:rsidP="005125F6">
      <w:pPr>
        <w:widowControl w:val="0"/>
        <w:autoSpaceDE w:val="0"/>
        <w:autoSpaceDN w:val="0"/>
        <w:adjustRightInd w:val="0"/>
        <w:spacing w:after="0" w:line="240" w:lineRule="auto"/>
        <w:rPr>
          <w:rFonts w:eastAsiaTheme="minorEastAsia"/>
          <w:szCs w:val="20"/>
          <w:lang w:val="en-US"/>
        </w:rPr>
      </w:pPr>
    </w:p>
    <w:p w14:paraId="5902962F" w14:textId="216EF83D" w:rsidR="00F846EE" w:rsidRDefault="005125F6" w:rsidP="005125F6">
      <w:pPr>
        <w:widowControl w:val="0"/>
        <w:autoSpaceDE w:val="0"/>
        <w:autoSpaceDN w:val="0"/>
        <w:adjustRightInd w:val="0"/>
        <w:spacing w:after="0" w:line="240" w:lineRule="auto"/>
        <w:rPr>
          <w:rFonts w:eastAsiaTheme="minorEastAsia"/>
          <w:szCs w:val="20"/>
          <w:lang w:val="en-US"/>
        </w:rPr>
      </w:pPr>
      <w:r w:rsidRPr="0059317C">
        <w:rPr>
          <w:rFonts w:eastAsiaTheme="minorEastAsia"/>
          <w:szCs w:val="20"/>
          <w:lang w:val="en-US"/>
        </w:rPr>
        <w:t xml:space="preserve">In the </w:t>
      </w:r>
      <w:r w:rsidR="00D10743">
        <w:rPr>
          <w:rFonts w:eastAsiaTheme="minorEastAsia"/>
          <w:szCs w:val="20"/>
          <w:lang w:val="en-US"/>
        </w:rPr>
        <w:t xml:space="preserve">nearly 20 </w:t>
      </w:r>
      <w:r w:rsidRPr="0059317C">
        <w:rPr>
          <w:rFonts w:eastAsiaTheme="minorEastAsia"/>
          <w:szCs w:val="20"/>
          <w:lang w:val="en-US"/>
        </w:rPr>
        <w:t>years since the publication of this BAR volume, one might expect that some updating of the text would be needed.  To the first author’s mind, the most important new findings have come from Ashkelo</w:t>
      </w:r>
      <w:r w:rsidR="0075315E" w:rsidRPr="0059317C">
        <w:rPr>
          <w:rFonts w:eastAsiaTheme="minorEastAsia"/>
          <w:szCs w:val="20"/>
          <w:lang w:val="en-US"/>
        </w:rPr>
        <w:t>n.</w:t>
      </w:r>
      <w:r w:rsidR="00E4251A" w:rsidRPr="0059317C">
        <w:rPr>
          <w:rFonts w:eastAsiaTheme="minorEastAsia"/>
          <w:szCs w:val="20"/>
          <w:lang w:val="en-US"/>
        </w:rPr>
        <w:t xml:space="preserve"> </w:t>
      </w:r>
      <w:r w:rsidRPr="0059317C">
        <w:rPr>
          <w:rFonts w:eastAsiaTheme="minorEastAsia"/>
          <w:szCs w:val="20"/>
          <w:lang w:val="en-US"/>
        </w:rPr>
        <w:t xml:space="preserve"> In my closing remarks in the book (p. 83), I had already touched upon how pivotal this large fortified Canaanite city-state might be for determining the origin of the Hyksos.  It belonged to the “Gaza group of Middle Bronze Age (MBA) sites” (or “Southern Palestine,” </w:t>
      </w:r>
      <w:r w:rsidR="00220055" w:rsidRPr="0059317C">
        <w:rPr>
          <w:rFonts w:eastAsiaTheme="minorEastAsia"/>
          <w:i/>
          <w:szCs w:val="20"/>
          <w:lang w:val="en-US"/>
        </w:rPr>
        <w:t>sensu strictu</w:t>
      </w:r>
      <w:r w:rsidRPr="0059317C">
        <w:rPr>
          <w:rFonts w:eastAsiaTheme="minorEastAsia"/>
          <w:szCs w:val="20"/>
          <w:lang w:val="en-US"/>
        </w:rPr>
        <w:t>) that our NAA results showed, at a minimum, had very intense trad</w:t>
      </w:r>
      <w:r w:rsidR="0014214A">
        <w:rPr>
          <w:rFonts w:eastAsiaTheme="minorEastAsia"/>
          <w:szCs w:val="20"/>
          <w:lang w:val="en-US"/>
        </w:rPr>
        <w:t>e relations with</w:t>
      </w:r>
      <w:r w:rsidRPr="0059317C">
        <w:rPr>
          <w:rFonts w:eastAsiaTheme="minorEastAsia"/>
          <w:szCs w:val="20"/>
          <w:lang w:val="en-US"/>
        </w:rPr>
        <w:t xml:space="preserve"> </w:t>
      </w:r>
      <w:r w:rsidR="00A860BC" w:rsidRPr="0059317C">
        <w:rPr>
          <w:rFonts w:eastAsiaTheme="minorEastAsia"/>
          <w:szCs w:val="20"/>
          <w:lang w:val="de-DE"/>
        </w:rPr>
        <w:t>Tell el-</w:t>
      </w:r>
      <w:r w:rsidRPr="0059317C">
        <w:rPr>
          <w:rFonts w:eastAsiaTheme="minorEastAsia"/>
          <w:szCs w:val="20"/>
          <w:lang w:val="en-US"/>
        </w:rPr>
        <w:t>Dab`a</w:t>
      </w:r>
      <w:r w:rsidR="0065274A">
        <w:rPr>
          <w:rFonts w:eastAsiaTheme="minorEastAsia"/>
          <w:szCs w:val="20"/>
          <w:lang w:val="en-US"/>
        </w:rPr>
        <w:t xml:space="preserve"> from later Middle Bronze (MB) IIA through MB IIC</w:t>
      </w:r>
      <w:r w:rsidR="00215935">
        <w:rPr>
          <w:rFonts w:eastAsiaTheme="minorEastAsia"/>
          <w:szCs w:val="20"/>
          <w:lang w:val="en-US"/>
        </w:rPr>
        <w:t xml:space="preserve">, the period of the rise </w:t>
      </w:r>
      <w:r w:rsidR="00BC2E69">
        <w:rPr>
          <w:rFonts w:eastAsiaTheme="minorEastAsia"/>
          <w:szCs w:val="20"/>
          <w:lang w:val="en-US"/>
        </w:rPr>
        <w:t xml:space="preserve">to power </w:t>
      </w:r>
      <w:r w:rsidR="00215935">
        <w:rPr>
          <w:rFonts w:eastAsiaTheme="minorEastAsia"/>
          <w:szCs w:val="20"/>
          <w:lang w:val="en-US"/>
        </w:rPr>
        <w:t>of the Hyksos in Egypt</w:t>
      </w:r>
      <w:r w:rsidRPr="0059317C">
        <w:rPr>
          <w:rFonts w:eastAsiaTheme="minorEastAsia"/>
          <w:szCs w:val="20"/>
          <w:lang w:val="en-US"/>
        </w:rPr>
        <w:t xml:space="preserve">.  </w:t>
      </w:r>
      <w:r w:rsidR="006A0A99">
        <w:rPr>
          <w:rFonts w:eastAsiaTheme="minorEastAsia"/>
          <w:szCs w:val="20"/>
          <w:lang w:val="en-US"/>
        </w:rPr>
        <w:t>At the time, however, one could seriously question this result, because the MBA of Southern Palestine was relatively poorly known</w:t>
      </w:r>
      <w:r w:rsidR="00F70670">
        <w:rPr>
          <w:rFonts w:eastAsiaTheme="minorEastAsia"/>
          <w:szCs w:val="20"/>
          <w:lang w:val="en-US"/>
        </w:rPr>
        <w:t xml:space="preserve">, with limited architectural, </w:t>
      </w:r>
      <w:r w:rsidR="00F846EE">
        <w:rPr>
          <w:rFonts w:eastAsiaTheme="minorEastAsia"/>
          <w:szCs w:val="20"/>
          <w:lang w:val="en-US"/>
        </w:rPr>
        <w:t>pottery</w:t>
      </w:r>
      <w:r w:rsidR="00F70670">
        <w:rPr>
          <w:rFonts w:eastAsiaTheme="minorEastAsia"/>
          <w:szCs w:val="20"/>
          <w:lang w:val="en-US"/>
        </w:rPr>
        <w:t>, and other cultural</w:t>
      </w:r>
      <w:r w:rsidR="00F846EE">
        <w:rPr>
          <w:rFonts w:eastAsiaTheme="minorEastAsia"/>
          <w:szCs w:val="20"/>
          <w:lang w:val="en-US"/>
        </w:rPr>
        <w:t xml:space="preserve"> parallels to</w:t>
      </w:r>
      <w:r w:rsidR="00F70670">
        <w:rPr>
          <w:rFonts w:eastAsiaTheme="minorEastAsia"/>
          <w:szCs w:val="20"/>
          <w:lang w:val="en-US"/>
        </w:rPr>
        <w:t xml:space="preserve"> Tell el-Dab`a.</w:t>
      </w:r>
      <w:r w:rsidR="00F846EE">
        <w:rPr>
          <w:rFonts w:eastAsiaTheme="minorEastAsia"/>
          <w:szCs w:val="20"/>
          <w:lang w:val="en-US"/>
        </w:rPr>
        <w:t xml:space="preserve"> </w:t>
      </w:r>
    </w:p>
    <w:p w14:paraId="534873FF" w14:textId="77777777" w:rsidR="00F846EE" w:rsidRDefault="00F846EE" w:rsidP="005125F6">
      <w:pPr>
        <w:widowControl w:val="0"/>
        <w:autoSpaceDE w:val="0"/>
        <w:autoSpaceDN w:val="0"/>
        <w:adjustRightInd w:val="0"/>
        <w:spacing w:after="0" w:line="240" w:lineRule="auto"/>
        <w:rPr>
          <w:rFonts w:eastAsiaTheme="minorEastAsia"/>
          <w:szCs w:val="20"/>
          <w:lang w:val="en-US"/>
        </w:rPr>
      </w:pPr>
    </w:p>
    <w:p w14:paraId="1D96DF32" w14:textId="77777777" w:rsidR="005125F6" w:rsidRPr="0059317C" w:rsidRDefault="00F846EE" w:rsidP="005125F6">
      <w:pPr>
        <w:widowControl w:val="0"/>
        <w:autoSpaceDE w:val="0"/>
        <w:autoSpaceDN w:val="0"/>
        <w:adjustRightInd w:val="0"/>
        <w:spacing w:after="0" w:line="240" w:lineRule="auto"/>
        <w:rPr>
          <w:rFonts w:eastAsiaTheme="minorEastAsia"/>
          <w:szCs w:val="20"/>
          <w:lang w:val="en-US"/>
        </w:rPr>
      </w:pPr>
      <w:r>
        <w:rPr>
          <w:rFonts w:eastAsiaTheme="minorEastAsia"/>
          <w:szCs w:val="20"/>
          <w:lang w:val="en-US"/>
        </w:rPr>
        <w:t>The excavation of Ashkelon was a game changer, as I pointed out</w:t>
      </w:r>
      <w:r w:rsidR="00F34E65">
        <w:rPr>
          <w:rFonts w:eastAsiaTheme="minorEastAsia"/>
          <w:szCs w:val="20"/>
          <w:lang w:val="en-US"/>
        </w:rPr>
        <w:t xml:space="preserve"> when the first </w:t>
      </w:r>
      <w:r w:rsidR="008C7B0F">
        <w:rPr>
          <w:rFonts w:eastAsiaTheme="minorEastAsia"/>
          <w:szCs w:val="20"/>
          <w:lang w:val="en-US"/>
        </w:rPr>
        <w:t>results of the excavation there started to come in (see below)</w:t>
      </w:r>
      <w:r>
        <w:rPr>
          <w:rFonts w:eastAsiaTheme="minorEastAsia"/>
          <w:szCs w:val="20"/>
          <w:lang w:val="en-US"/>
        </w:rPr>
        <w:t xml:space="preserve">. </w:t>
      </w:r>
      <w:r w:rsidR="006A0A99">
        <w:rPr>
          <w:rFonts w:eastAsiaTheme="minorEastAsia"/>
          <w:szCs w:val="20"/>
          <w:lang w:val="en-US"/>
        </w:rPr>
        <w:t xml:space="preserve"> </w:t>
      </w:r>
      <w:r w:rsidR="005125F6" w:rsidRPr="0059317C">
        <w:rPr>
          <w:rFonts w:eastAsiaTheme="minorEastAsia"/>
          <w:szCs w:val="20"/>
          <w:lang w:val="en-US"/>
        </w:rPr>
        <w:t>As a coastal site, it had one of the few natural harbors in Southern Palestine for mooring boats and managing shipments</w:t>
      </w:r>
      <w:r w:rsidR="005542C2" w:rsidRPr="0059317C">
        <w:rPr>
          <w:rFonts w:eastAsiaTheme="minorEastAsia"/>
          <w:szCs w:val="20"/>
          <w:lang w:val="en-US"/>
        </w:rPr>
        <w:t xml:space="preserve"> </w:t>
      </w:r>
      <w:r w:rsidR="005870B4" w:rsidRPr="0059317C">
        <w:rPr>
          <w:rFonts w:eastAsiaTheme="minorEastAsia"/>
          <w:szCs w:val="20"/>
          <w:lang w:val="en-US"/>
        </w:rPr>
        <w:t>of every kind</w:t>
      </w:r>
      <w:r w:rsidR="005125F6" w:rsidRPr="0059317C">
        <w:rPr>
          <w:rFonts w:eastAsiaTheme="minorEastAsia"/>
          <w:szCs w:val="20"/>
          <w:lang w:val="en-US"/>
        </w:rPr>
        <w:t>.</w:t>
      </w:r>
      <w:r w:rsidR="005870B4" w:rsidRPr="0059317C">
        <w:rPr>
          <w:rFonts w:eastAsiaTheme="minorEastAsia"/>
          <w:szCs w:val="20"/>
          <w:lang w:val="en-US"/>
        </w:rPr>
        <w:t xml:space="preserve"> </w:t>
      </w:r>
      <w:r w:rsidR="005125F6" w:rsidRPr="0059317C">
        <w:rPr>
          <w:rFonts w:eastAsiaTheme="minorEastAsia"/>
          <w:szCs w:val="20"/>
          <w:lang w:val="en-US"/>
        </w:rPr>
        <w:t xml:space="preserve"> And it lay within “striking distance” of </w:t>
      </w:r>
      <w:r w:rsidR="00A860BC" w:rsidRPr="0059317C">
        <w:rPr>
          <w:rFonts w:eastAsiaTheme="minorEastAsia"/>
          <w:szCs w:val="20"/>
          <w:lang w:val="de-DE"/>
        </w:rPr>
        <w:t>Tell el-</w:t>
      </w:r>
      <w:r w:rsidR="005125F6" w:rsidRPr="0059317C">
        <w:rPr>
          <w:rFonts w:eastAsiaTheme="minorEastAsia"/>
          <w:szCs w:val="20"/>
          <w:lang w:val="en-US"/>
        </w:rPr>
        <w:t>Dab`a, only about 300 kilometers by land or sea.  If we were looking for the “origin” of the Hyksos, even common sense</w:t>
      </w:r>
      <w:r w:rsidR="008E3E06" w:rsidRPr="0059317C">
        <w:rPr>
          <w:rFonts w:eastAsiaTheme="minorEastAsia"/>
          <w:szCs w:val="20"/>
          <w:lang w:val="en-US"/>
        </w:rPr>
        <w:t>—as defined by the principle of Occam’s Razor that the</w:t>
      </w:r>
      <w:r w:rsidR="0040327D" w:rsidRPr="0059317C">
        <w:rPr>
          <w:rFonts w:eastAsiaTheme="minorEastAsia"/>
          <w:szCs w:val="20"/>
          <w:lang w:val="en-US"/>
        </w:rPr>
        <w:t xml:space="preserve"> simplest</w:t>
      </w:r>
      <w:r w:rsidR="00AB23D7" w:rsidRPr="0059317C">
        <w:rPr>
          <w:rFonts w:eastAsiaTheme="minorEastAsia"/>
          <w:szCs w:val="20"/>
          <w:lang w:val="en-US"/>
        </w:rPr>
        <w:t>,</w:t>
      </w:r>
      <w:r w:rsidR="008E3E06" w:rsidRPr="0059317C">
        <w:rPr>
          <w:rFonts w:eastAsiaTheme="minorEastAsia"/>
          <w:szCs w:val="20"/>
          <w:lang w:val="en-US"/>
        </w:rPr>
        <w:t xml:space="preserve"> most straight-forward</w:t>
      </w:r>
      <w:r w:rsidR="005125F6" w:rsidRPr="0059317C">
        <w:rPr>
          <w:rFonts w:eastAsiaTheme="minorEastAsia"/>
          <w:szCs w:val="20"/>
          <w:lang w:val="en-US"/>
        </w:rPr>
        <w:t xml:space="preserve"> </w:t>
      </w:r>
      <w:r w:rsidR="008E3E06" w:rsidRPr="0059317C">
        <w:rPr>
          <w:rFonts w:eastAsiaTheme="minorEastAsia"/>
          <w:szCs w:val="20"/>
          <w:lang w:val="en-US"/>
        </w:rPr>
        <w:t xml:space="preserve">explanation is </w:t>
      </w:r>
      <w:r w:rsidR="00AB23D7" w:rsidRPr="0059317C">
        <w:rPr>
          <w:rFonts w:eastAsiaTheme="minorEastAsia"/>
          <w:szCs w:val="20"/>
          <w:lang w:val="en-US"/>
        </w:rPr>
        <w:t>often the right one</w:t>
      </w:r>
      <w:r w:rsidR="006A0A99">
        <w:rPr>
          <w:rFonts w:eastAsiaTheme="minorEastAsia"/>
          <w:szCs w:val="20"/>
          <w:lang w:val="en-US"/>
        </w:rPr>
        <w:t>—</w:t>
      </w:r>
      <w:r w:rsidR="00393F84" w:rsidRPr="0059317C">
        <w:rPr>
          <w:rFonts w:eastAsiaTheme="minorEastAsia"/>
          <w:szCs w:val="20"/>
          <w:lang w:val="en-US"/>
        </w:rPr>
        <w:t>might</w:t>
      </w:r>
      <w:r w:rsidR="005125F6" w:rsidRPr="0059317C">
        <w:rPr>
          <w:rFonts w:eastAsiaTheme="minorEastAsia"/>
          <w:szCs w:val="20"/>
          <w:lang w:val="en-US"/>
        </w:rPr>
        <w:t xml:space="preserve"> suggest that any increase in </w:t>
      </w:r>
      <w:r w:rsidR="00393F84" w:rsidRPr="0059317C">
        <w:rPr>
          <w:rFonts w:eastAsiaTheme="minorEastAsia"/>
          <w:szCs w:val="20"/>
          <w:lang w:val="en-US"/>
        </w:rPr>
        <w:t xml:space="preserve">the </w:t>
      </w:r>
      <w:r w:rsidR="005125F6" w:rsidRPr="0059317C">
        <w:rPr>
          <w:rFonts w:eastAsiaTheme="minorEastAsia"/>
          <w:szCs w:val="20"/>
          <w:lang w:val="en-US"/>
        </w:rPr>
        <w:t xml:space="preserve">population of Ashkelon and its neighboring Gaza region city-states might have “spilled over,” as it were, into Egypt. </w:t>
      </w:r>
    </w:p>
    <w:p w14:paraId="3FFD47AC" w14:textId="77777777" w:rsidR="00AB23D7" w:rsidRPr="0059317C" w:rsidRDefault="00AB23D7" w:rsidP="005125F6">
      <w:pPr>
        <w:widowControl w:val="0"/>
        <w:autoSpaceDE w:val="0"/>
        <w:autoSpaceDN w:val="0"/>
        <w:adjustRightInd w:val="0"/>
        <w:spacing w:after="0" w:line="240" w:lineRule="auto"/>
        <w:rPr>
          <w:rFonts w:eastAsiaTheme="minorEastAsia"/>
          <w:szCs w:val="20"/>
          <w:lang w:val="en-US"/>
        </w:rPr>
      </w:pPr>
    </w:p>
    <w:p w14:paraId="72B36866" w14:textId="3CB7BA6A" w:rsidR="005125F6" w:rsidRPr="0059317C" w:rsidRDefault="005125F6" w:rsidP="004B2DAC">
      <w:pPr>
        <w:widowControl w:val="0"/>
        <w:autoSpaceDE w:val="0"/>
        <w:autoSpaceDN w:val="0"/>
        <w:adjustRightInd w:val="0"/>
        <w:spacing w:after="0" w:line="240" w:lineRule="auto"/>
        <w:rPr>
          <w:rFonts w:eastAsiaTheme="minorEastAsia"/>
          <w:szCs w:val="20"/>
          <w:lang w:val="en-US"/>
        </w:rPr>
      </w:pPr>
      <w:r w:rsidRPr="0059317C">
        <w:rPr>
          <w:rFonts w:eastAsiaTheme="minorEastAsia"/>
          <w:szCs w:val="20"/>
          <w:lang w:val="en-US"/>
        </w:rPr>
        <w:t>Since Bietak has long argued</w:t>
      </w:r>
      <w:r w:rsidR="00C55042" w:rsidRPr="0059317C">
        <w:rPr>
          <w:rFonts w:eastAsiaTheme="minorEastAsia"/>
          <w:szCs w:val="20"/>
          <w:lang w:val="en-US"/>
        </w:rPr>
        <w:t xml:space="preserve"> and continues to argue</w:t>
      </w:r>
      <w:bookmarkStart w:id="4" w:name="_Ref6064077"/>
      <w:r w:rsidR="00F046CA" w:rsidRPr="0059317C">
        <w:rPr>
          <w:rStyle w:val="FootnoteReference"/>
          <w:rFonts w:eastAsiaTheme="minorEastAsia"/>
          <w:szCs w:val="20"/>
          <w:lang w:val="en-US"/>
        </w:rPr>
        <w:footnoteReference w:id="2"/>
      </w:r>
      <w:bookmarkEnd w:id="4"/>
      <w:r w:rsidRPr="0059317C">
        <w:rPr>
          <w:rFonts w:eastAsiaTheme="minorEastAsia"/>
          <w:szCs w:val="20"/>
          <w:lang w:val="en-US"/>
        </w:rPr>
        <w:t xml:space="preserve"> that the Hyksos came from the northern Levant in MB IIA,</w:t>
      </w:r>
      <w:r w:rsidR="00F046CA" w:rsidRPr="0059317C">
        <w:rPr>
          <w:rStyle w:val="FootnoteReference"/>
          <w:rFonts w:eastAsiaTheme="minorEastAsia"/>
          <w:szCs w:val="20"/>
          <w:lang w:val="en-US"/>
        </w:rPr>
        <w:footnoteReference w:id="3"/>
      </w:r>
      <w:r w:rsidR="004E7B6C" w:rsidRPr="0059317C">
        <w:rPr>
          <w:rFonts w:eastAsiaTheme="minorEastAsia"/>
          <w:szCs w:val="20"/>
          <w:lang w:val="en-US"/>
        </w:rPr>
        <w:t xml:space="preserve"> </w:t>
      </w:r>
      <w:r w:rsidRPr="0059317C">
        <w:rPr>
          <w:rFonts w:eastAsiaTheme="minorEastAsia"/>
          <w:szCs w:val="20"/>
          <w:lang w:val="en-US"/>
        </w:rPr>
        <w:t xml:space="preserve">specifically Byblos, and since our NAA study showed minimal contacts with this region (and none for Byblos), I proposed to him that we test his </w:t>
      </w:r>
      <w:r w:rsidR="003F30C4">
        <w:rPr>
          <w:rFonts w:eastAsiaTheme="minorEastAsia"/>
          <w:szCs w:val="20"/>
          <w:lang w:val="en-US"/>
        </w:rPr>
        <w:t>theory</w:t>
      </w:r>
      <w:r w:rsidRPr="0059317C">
        <w:rPr>
          <w:rFonts w:eastAsiaTheme="minorEastAsia"/>
          <w:szCs w:val="20"/>
          <w:lang w:val="en-US"/>
        </w:rPr>
        <w:t xml:space="preserve"> by his choosing an additional group of samples from </w:t>
      </w:r>
      <w:r w:rsidR="00A860BC" w:rsidRPr="0059317C">
        <w:rPr>
          <w:rFonts w:eastAsiaTheme="minorEastAsia"/>
          <w:szCs w:val="20"/>
          <w:lang w:val="de-DE"/>
        </w:rPr>
        <w:lastRenderedPageBreak/>
        <w:t>Tell el-</w:t>
      </w:r>
      <w:r w:rsidRPr="0059317C">
        <w:rPr>
          <w:rFonts w:eastAsiaTheme="minorEastAsia"/>
          <w:szCs w:val="20"/>
          <w:lang w:val="en-US"/>
        </w:rPr>
        <w:t>Dab`a of supposed northern</w:t>
      </w:r>
      <w:r w:rsidR="00F35E0D">
        <w:rPr>
          <w:rFonts w:eastAsiaTheme="minorEastAsia"/>
          <w:szCs w:val="20"/>
          <w:lang w:val="en-US"/>
        </w:rPr>
        <w:t xml:space="preserve"> Levantine</w:t>
      </w:r>
      <w:r w:rsidRPr="0059317C">
        <w:rPr>
          <w:rFonts w:eastAsiaTheme="minorEastAsia"/>
          <w:szCs w:val="20"/>
          <w:lang w:val="en-US"/>
        </w:rPr>
        <w:t xml:space="preserve"> origin</w:t>
      </w:r>
      <w:r w:rsidRPr="0059317C">
        <w:rPr>
          <w:rFonts w:eastAsiaTheme="minorEastAsia"/>
          <w:b/>
          <w:szCs w:val="20"/>
          <w:lang w:val="en-US"/>
        </w:rPr>
        <w:t xml:space="preserve"> </w:t>
      </w:r>
      <w:r w:rsidRPr="0059317C">
        <w:rPr>
          <w:rFonts w:eastAsiaTheme="minorEastAsia"/>
          <w:szCs w:val="20"/>
          <w:lang w:val="en-US"/>
        </w:rPr>
        <w:t xml:space="preserve">(p. 36). </w:t>
      </w:r>
      <w:r w:rsidR="006660BA">
        <w:rPr>
          <w:rFonts w:eastAsiaTheme="minorEastAsia"/>
          <w:szCs w:val="20"/>
          <w:lang w:val="en-US"/>
        </w:rPr>
        <w:t xml:space="preserve"> The</w:t>
      </w:r>
      <w:r w:rsidR="0002060E">
        <w:rPr>
          <w:rFonts w:eastAsiaTheme="minorEastAsia"/>
          <w:szCs w:val="20"/>
          <w:lang w:val="en-US"/>
        </w:rPr>
        <w:t xml:space="preserve"> 29</w:t>
      </w:r>
      <w:r w:rsidR="006660BA">
        <w:rPr>
          <w:rFonts w:eastAsiaTheme="minorEastAsia"/>
          <w:szCs w:val="20"/>
          <w:lang w:val="en-US"/>
        </w:rPr>
        <w:t xml:space="preserve"> samples</w:t>
      </w:r>
      <w:r w:rsidR="0002060E">
        <w:rPr>
          <w:rFonts w:eastAsiaTheme="minorEastAsia"/>
          <w:szCs w:val="20"/>
          <w:lang w:val="en-US"/>
        </w:rPr>
        <w:t xml:space="preserve"> </w:t>
      </w:r>
      <w:r w:rsidR="0002060E" w:rsidRPr="0059317C">
        <w:rPr>
          <w:rFonts w:eastAsiaTheme="minorEastAsia"/>
          <w:szCs w:val="20"/>
          <w:lang w:val="en-US"/>
        </w:rPr>
        <w:t>(PMG103-131</w:t>
      </w:r>
      <w:r w:rsidR="007B68B0">
        <w:rPr>
          <w:rFonts w:eastAsiaTheme="minorEastAsia"/>
          <w:szCs w:val="20"/>
          <w:lang w:val="en-US"/>
        </w:rPr>
        <w:t>, Appendix 1</w:t>
      </w:r>
      <w:r w:rsidR="0002060E" w:rsidRPr="0059317C">
        <w:rPr>
          <w:rFonts w:eastAsiaTheme="minorEastAsia"/>
          <w:szCs w:val="20"/>
          <w:lang w:val="en-US"/>
        </w:rPr>
        <w:t>: pp. 155-157</w:t>
      </w:r>
      <w:r w:rsidR="0002060E">
        <w:rPr>
          <w:rFonts w:eastAsiaTheme="minorEastAsia"/>
          <w:szCs w:val="20"/>
          <w:lang w:val="en-US"/>
        </w:rPr>
        <w:t xml:space="preserve">; Figs. </w:t>
      </w:r>
      <w:r w:rsidR="004B2DAC">
        <w:rPr>
          <w:rFonts w:eastAsiaTheme="minorEastAsia"/>
          <w:szCs w:val="20"/>
          <w:lang w:val="en-US"/>
        </w:rPr>
        <w:t>112-11</w:t>
      </w:r>
      <w:r w:rsidR="00295B75">
        <w:rPr>
          <w:rFonts w:eastAsiaTheme="minorEastAsia"/>
          <w:szCs w:val="20"/>
          <w:lang w:val="en-US"/>
        </w:rPr>
        <w:t>5</w:t>
      </w:r>
      <w:r w:rsidR="0002060E" w:rsidRPr="0059317C">
        <w:rPr>
          <w:rFonts w:eastAsiaTheme="minorEastAsia"/>
          <w:szCs w:val="20"/>
          <w:lang w:val="en-US"/>
        </w:rPr>
        <w:t>)</w:t>
      </w:r>
      <w:r w:rsidR="006660BA">
        <w:rPr>
          <w:rFonts w:eastAsiaTheme="minorEastAsia"/>
          <w:szCs w:val="20"/>
          <w:lang w:val="en-US"/>
        </w:rPr>
        <w:t xml:space="preserve"> </w:t>
      </w:r>
      <w:r w:rsidR="000F19BA">
        <w:rPr>
          <w:rFonts w:eastAsiaTheme="minorEastAsia"/>
          <w:szCs w:val="20"/>
          <w:lang w:val="en-US"/>
        </w:rPr>
        <w:t xml:space="preserve">primarily </w:t>
      </w:r>
      <w:r w:rsidR="006660BA">
        <w:rPr>
          <w:rFonts w:eastAsiaTheme="minorEastAsia"/>
          <w:szCs w:val="20"/>
          <w:lang w:val="en-US"/>
        </w:rPr>
        <w:t>includ</w:t>
      </w:r>
      <w:r w:rsidR="000F19BA">
        <w:rPr>
          <w:rFonts w:eastAsiaTheme="minorEastAsia"/>
          <w:szCs w:val="20"/>
          <w:lang w:val="en-US"/>
        </w:rPr>
        <w:t xml:space="preserve">ed later MB IIA material, continuing through to the end of the MBA, since earlier MB IIA strata had been only minimally excavated. </w:t>
      </w:r>
      <w:r w:rsidR="004B2DAC">
        <w:rPr>
          <w:rFonts w:eastAsiaTheme="minorEastAsia"/>
          <w:szCs w:val="20"/>
          <w:lang w:val="en-US"/>
        </w:rPr>
        <w:t xml:space="preserve"> The samples included </w:t>
      </w:r>
      <w:r w:rsidR="00AA2F43">
        <w:rPr>
          <w:rFonts w:eastAsiaTheme="minorEastAsia"/>
          <w:szCs w:val="20"/>
          <w:lang w:val="en-US"/>
        </w:rPr>
        <w:t xml:space="preserve">20 </w:t>
      </w:r>
      <w:r w:rsidR="004B2DAC" w:rsidRPr="004B2DAC">
        <w:rPr>
          <w:rFonts w:eastAsiaTheme="minorEastAsia"/>
          <w:szCs w:val="20"/>
          <w:lang w:val="en-US"/>
        </w:rPr>
        <w:t xml:space="preserve">Canaanite Jars, </w:t>
      </w:r>
      <w:r w:rsidR="00613294">
        <w:rPr>
          <w:rFonts w:eastAsiaTheme="minorEastAsia"/>
          <w:szCs w:val="20"/>
          <w:lang w:val="en-US"/>
        </w:rPr>
        <w:t>2 Polished</w:t>
      </w:r>
      <w:r w:rsidR="004B2DAC" w:rsidRPr="004B2DAC">
        <w:rPr>
          <w:rFonts w:eastAsiaTheme="minorEastAsia"/>
          <w:szCs w:val="20"/>
          <w:lang w:val="en-US"/>
        </w:rPr>
        <w:t xml:space="preserve"> </w:t>
      </w:r>
      <w:r w:rsidR="00490698">
        <w:rPr>
          <w:rFonts w:eastAsiaTheme="minorEastAsia"/>
          <w:szCs w:val="20"/>
          <w:lang w:val="en-US"/>
        </w:rPr>
        <w:t>j</w:t>
      </w:r>
      <w:r w:rsidR="004B2DAC" w:rsidRPr="004B2DAC">
        <w:rPr>
          <w:rFonts w:eastAsiaTheme="minorEastAsia"/>
          <w:szCs w:val="20"/>
          <w:lang w:val="en-US"/>
        </w:rPr>
        <w:t>ars/</w:t>
      </w:r>
      <w:r w:rsidR="00490698">
        <w:rPr>
          <w:rFonts w:eastAsiaTheme="minorEastAsia"/>
          <w:szCs w:val="20"/>
          <w:lang w:val="en-US"/>
        </w:rPr>
        <w:t>j</w:t>
      </w:r>
      <w:r w:rsidR="004B2DAC" w:rsidRPr="004B2DAC">
        <w:rPr>
          <w:rFonts w:eastAsiaTheme="minorEastAsia"/>
          <w:szCs w:val="20"/>
          <w:lang w:val="en-US"/>
        </w:rPr>
        <w:t>ugs</w:t>
      </w:r>
      <w:r w:rsidR="00FD7D76">
        <w:rPr>
          <w:rFonts w:eastAsiaTheme="minorEastAsia"/>
          <w:szCs w:val="20"/>
          <w:lang w:val="en-US"/>
        </w:rPr>
        <w:t xml:space="preserve">, </w:t>
      </w:r>
      <w:r w:rsidR="00AA2F43">
        <w:rPr>
          <w:rFonts w:eastAsiaTheme="minorEastAsia"/>
          <w:szCs w:val="20"/>
          <w:lang w:val="en-US"/>
        </w:rPr>
        <w:t xml:space="preserve">3 </w:t>
      </w:r>
      <w:r w:rsidR="004B2DAC" w:rsidRPr="004B2DAC">
        <w:rPr>
          <w:rFonts w:eastAsiaTheme="minorEastAsia"/>
          <w:szCs w:val="20"/>
          <w:lang w:val="en-US"/>
        </w:rPr>
        <w:t>Kamares Ware</w:t>
      </w:r>
      <w:r w:rsidR="00AA2F43">
        <w:rPr>
          <w:rFonts w:eastAsiaTheme="minorEastAsia"/>
          <w:szCs w:val="20"/>
          <w:lang w:val="en-US"/>
        </w:rPr>
        <w:t xml:space="preserve"> cups</w:t>
      </w:r>
      <w:r w:rsidR="004B2DAC" w:rsidRPr="004B2DAC">
        <w:rPr>
          <w:rFonts w:eastAsiaTheme="minorEastAsia"/>
          <w:szCs w:val="20"/>
          <w:lang w:val="en-US"/>
        </w:rPr>
        <w:t>,</w:t>
      </w:r>
      <w:r w:rsidR="008E695C">
        <w:rPr>
          <w:rFonts w:eastAsiaTheme="minorEastAsia"/>
          <w:szCs w:val="20"/>
          <w:lang w:val="en-US"/>
        </w:rPr>
        <w:t xml:space="preserve"> 1 Bichrome </w:t>
      </w:r>
      <w:r w:rsidR="00395A77">
        <w:rPr>
          <w:rFonts w:eastAsiaTheme="minorEastAsia"/>
          <w:szCs w:val="20"/>
          <w:lang w:val="en-US"/>
        </w:rPr>
        <w:t>Painted</w:t>
      </w:r>
      <w:r w:rsidR="00490698">
        <w:rPr>
          <w:rFonts w:eastAsiaTheme="minorEastAsia"/>
          <w:szCs w:val="20"/>
          <w:lang w:val="en-US"/>
        </w:rPr>
        <w:t xml:space="preserve"> j</w:t>
      </w:r>
      <w:r w:rsidR="008E695C">
        <w:rPr>
          <w:rFonts w:eastAsiaTheme="minorEastAsia"/>
          <w:szCs w:val="20"/>
          <w:lang w:val="en-US"/>
        </w:rPr>
        <w:t>ug,</w:t>
      </w:r>
      <w:r w:rsidR="004B2DAC" w:rsidRPr="004B2DAC">
        <w:rPr>
          <w:rFonts w:eastAsiaTheme="minorEastAsia"/>
          <w:szCs w:val="20"/>
          <w:lang w:val="en-US"/>
        </w:rPr>
        <w:t xml:space="preserve"> and </w:t>
      </w:r>
      <w:r w:rsidR="00490698">
        <w:rPr>
          <w:rFonts w:eastAsiaTheme="minorEastAsia"/>
          <w:szCs w:val="20"/>
          <w:lang w:val="en-US"/>
        </w:rPr>
        <w:t>3 m</w:t>
      </w:r>
      <w:r w:rsidR="004B2DAC" w:rsidRPr="004B2DAC">
        <w:rPr>
          <w:rFonts w:eastAsiaTheme="minorEastAsia"/>
          <w:szCs w:val="20"/>
          <w:lang w:val="en-US"/>
        </w:rPr>
        <w:t xml:space="preserve">iscellaneous </w:t>
      </w:r>
      <w:r w:rsidR="004B2DAC">
        <w:rPr>
          <w:rFonts w:eastAsiaTheme="minorEastAsia"/>
          <w:szCs w:val="20"/>
          <w:lang w:val="en-US"/>
        </w:rPr>
        <w:t>t</w:t>
      </w:r>
      <w:r w:rsidR="004B2DAC" w:rsidRPr="004B2DAC">
        <w:rPr>
          <w:rFonts w:eastAsiaTheme="minorEastAsia"/>
          <w:szCs w:val="20"/>
          <w:lang w:val="en-US"/>
        </w:rPr>
        <w:t>ypes</w:t>
      </w:r>
      <w:r w:rsidR="008E695C">
        <w:rPr>
          <w:rFonts w:eastAsiaTheme="minorEastAsia"/>
          <w:szCs w:val="20"/>
          <w:lang w:val="en-US"/>
        </w:rPr>
        <w:t xml:space="preserve"> (</w:t>
      </w:r>
      <w:r w:rsidR="00490698">
        <w:rPr>
          <w:rFonts w:eastAsiaTheme="minorEastAsia"/>
          <w:szCs w:val="20"/>
          <w:lang w:val="en-US"/>
        </w:rPr>
        <w:t>a</w:t>
      </w:r>
      <w:r w:rsidR="00395A77">
        <w:rPr>
          <w:rFonts w:eastAsiaTheme="minorEastAsia"/>
          <w:szCs w:val="20"/>
          <w:lang w:val="en-US"/>
        </w:rPr>
        <w:t xml:space="preserve"> </w:t>
      </w:r>
      <w:r w:rsidR="00490698">
        <w:rPr>
          <w:rFonts w:eastAsiaTheme="minorEastAsia"/>
          <w:szCs w:val="20"/>
          <w:lang w:val="en-US"/>
        </w:rPr>
        <w:t>j</w:t>
      </w:r>
      <w:r w:rsidR="00395A77">
        <w:rPr>
          <w:rFonts w:eastAsiaTheme="minorEastAsia"/>
          <w:szCs w:val="20"/>
          <w:lang w:val="en-US"/>
        </w:rPr>
        <w:t xml:space="preserve">ar, </w:t>
      </w:r>
      <w:r w:rsidR="00490698">
        <w:rPr>
          <w:rFonts w:eastAsiaTheme="minorEastAsia"/>
          <w:szCs w:val="20"/>
          <w:lang w:val="en-US"/>
        </w:rPr>
        <w:t>a</w:t>
      </w:r>
      <w:r w:rsidR="00395A77">
        <w:rPr>
          <w:rFonts w:eastAsiaTheme="minorEastAsia"/>
          <w:szCs w:val="20"/>
          <w:lang w:val="en-US"/>
        </w:rPr>
        <w:t xml:space="preserve"> </w:t>
      </w:r>
      <w:r w:rsidR="00490698">
        <w:rPr>
          <w:rFonts w:eastAsiaTheme="minorEastAsia"/>
          <w:szCs w:val="20"/>
          <w:lang w:val="en-US"/>
        </w:rPr>
        <w:t>j</w:t>
      </w:r>
      <w:r w:rsidR="00395A77">
        <w:rPr>
          <w:rFonts w:eastAsiaTheme="minorEastAsia"/>
          <w:szCs w:val="20"/>
          <w:lang w:val="en-US"/>
        </w:rPr>
        <w:t xml:space="preserve">uglet, and </w:t>
      </w:r>
      <w:r w:rsidR="00490698">
        <w:rPr>
          <w:rFonts w:eastAsiaTheme="minorEastAsia"/>
          <w:szCs w:val="20"/>
          <w:lang w:val="en-US"/>
        </w:rPr>
        <w:t>a</w:t>
      </w:r>
      <w:r w:rsidR="008E695C">
        <w:rPr>
          <w:rFonts w:eastAsiaTheme="minorEastAsia"/>
          <w:szCs w:val="20"/>
          <w:lang w:val="en-US"/>
        </w:rPr>
        <w:t xml:space="preserve"> </w:t>
      </w:r>
      <w:r w:rsidR="00490698">
        <w:rPr>
          <w:rFonts w:eastAsiaTheme="minorEastAsia"/>
          <w:szCs w:val="20"/>
          <w:lang w:val="en-US"/>
        </w:rPr>
        <w:t>b</w:t>
      </w:r>
      <w:r w:rsidR="008E695C">
        <w:rPr>
          <w:rFonts w:eastAsiaTheme="minorEastAsia"/>
          <w:szCs w:val="20"/>
          <w:lang w:val="en-US"/>
        </w:rPr>
        <w:t>owl</w:t>
      </w:r>
      <w:r w:rsidR="00395A77">
        <w:rPr>
          <w:rFonts w:eastAsiaTheme="minorEastAsia"/>
          <w:szCs w:val="20"/>
          <w:lang w:val="en-US"/>
        </w:rPr>
        <w:t>)</w:t>
      </w:r>
      <w:r w:rsidR="004B2DAC">
        <w:rPr>
          <w:rFonts w:eastAsiaTheme="minorEastAsia"/>
          <w:szCs w:val="20"/>
          <w:lang w:val="en-US"/>
        </w:rPr>
        <w:t xml:space="preserve">.  </w:t>
      </w:r>
      <w:r w:rsidR="000F19BA">
        <w:rPr>
          <w:rFonts w:eastAsiaTheme="minorEastAsia"/>
          <w:szCs w:val="20"/>
          <w:lang w:val="en-US"/>
        </w:rPr>
        <w:t xml:space="preserve"> </w:t>
      </w:r>
      <w:r w:rsidRPr="0059317C">
        <w:rPr>
          <w:rFonts w:eastAsiaTheme="minorEastAsia"/>
          <w:szCs w:val="20"/>
          <w:lang w:val="en-US"/>
        </w:rPr>
        <w:t xml:space="preserve">Deducing and testing hypotheses </w:t>
      </w:r>
      <w:r w:rsidR="004170A5" w:rsidRPr="0059317C">
        <w:rPr>
          <w:rFonts w:eastAsiaTheme="minorEastAsia"/>
          <w:szCs w:val="20"/>
          <w:lang w:val="en-US"/>
        </w:rPr>
        <w:t>are</w:t>
      </w:r>
      <w:r w:rsidR="00970C8E" w:rsidRPr="0059317C">
        <w:rPr>
          <w:rFonts w:eastAsiaTheme="minorEastAsia"/>
          <w:szCs w:val="20"/>
          <w:lang w:val="en-US"/>
        </w:rPr>
        <w:t xml:space="preserve"> the</w:t>
      </w:r>
      <w:r w:rsidRPr="0059317C">
        <w:rPr>
          <w:rFonts w:eastAsiaTheme="minorEastAsia"/>
          <w:szCs w:val="20"/>
          <w:lang w:val="en-US"/>
        </w:rPr>
        <w:t xml:space="preserve"> sine qua non</w:t>
      </w:r>
      <w:r w:rsidR="004170A5" w:rsidRPr="0059317C">
        <w:rPr>
          <w:rFonts w:eastAsiaTheme="minorEastAsia"/>
          <w:szCs w:val="20"/>
          <w:lang w:val="en-US"/>
        </w:rPr>
        <w:t>s</w:t>
      </w:r>
      <w:r w:rsidRPr="0059317C">
        <w:rPr>
          <w:rFonts w:eastAsiaTheme="minorEastAsia"/>
          <w:szCs w:val="20"/>
          <w:lang w:val="en-US"/>
        </w:rPr>
        <w:t xml:space="preserve"> of any historical science, like archaeology, especially since it is based on extremely limited, fragmentary, degraded, and sometimes contaminated evidence</w:t>
      </w:r>
      <w:r w:rsidR="00AA0436" w:rsidRPr="0059317C">
        <w:rPr>
          <w:rFonts w:eastAsiaTheme="minorEastAsia"/>
          <w:szCs w:val="20"/>
          <w:lang w:val="en-US"/>
        </w:rPr>
        <w:t>.</w:t>
      </w:r>
      <w:r w:rsidR="004170A5" w:rsidRPr="0059317C">
        <w:rPr>
          <w:rStyle w:val="FootnoteReference"/>
          <w:rFonts w:eastAsiaTheme="minorEastAsia"/>
          <w:szCs w:val="20"/>
          <w:lang w:val="en-US"/>
        </w:rPr>
        <w:footnoteReference w:id="4"/>
      </w:r>
      <w:r w:rsidRPr="0059317C">
        <w:rPr>
          <w:rFonts w:eastAsiaTheme="minorEastAsia"/>
          <w:szCs w:val="20"/>
          <w:lang w:val="en-US"/>
        </w:rPr>
        <w:t xml:space="preserve"> </w:t>
      </w:r>
      <w:r w:rsidR="00AA0436" w:rsidRPr="0059317C">
        <w:rPr>
          <w:rFonts w:eastAsiaTheme="minorEastAsia"/>
          <w:szCs w:val="20"/>
          <w:lang w:val="en-US"/>
        </w:rPr>
        <w:t xml:space="preserve"> </w:t>
      </w:r>
      <w:r w:rsidRPr="0059317C">
        <w:rPr>
          <w:rFonts w:eastAsiaTheme="minorEastAsia"/>
          <w:szCs w:val="20"/>
          <w:lang w:val="en-US"/>
        </w:rPr>
        <w:t xml:space="preserve">Based on Bietak’s recommendations, we </w:t>
      </w:r>
      <w:r w:rsidR="00804B55">
        <w:rPr>
          <w:rFonts w:eastAsiaTheme="minorEastAsia"/>
          <w:szCs w:val="20"/>
          <w:lang w:val="en-US"/>
        </w:rPr>
        <w:t>analyzed</w:t>
      </w:r>
      <w:r w:rsidR="00804B55" w:rsidRPr="0059317C">
        <w:rPr>
          <w:rFonts w:eastAsiaTheme="minorEastAsia"/>
          <w:szCs w:val="20"/>
          <w:lang w:val="en-US"/>
        </w:rPr>
        <w:t xml:space="preserve"> </w:t>
      </w:r>
      <w:r w:rsidRPr="0059317C">
        <w:rPr>
          <w:rFonts w:eastAsiaTheme="minorEastAsia"/>
          <w:szCs w:val="20"/>
          <w:lang w:val="en-US"/>
        </w:rPr>
        <w:t xml:space="preserve">the </w:t>
      </w:r>
      <w:r w:rsidR="00804B55">
        <w:rPr>
          <w:rFonts w:eastAsiaTheme="minorEastAsia"/>
          <w:szCs w:val="20"/>
          <w:lang w:val="en-US"/>
        </w:rPr>
        <w:t>follow-up group of samples</w:t>
      </w:r>
      <w:r w:rsidRPr="0059317C">
        <w:rPr>
          <w:rFonts w:eastAsiaTheme="minorEastAsia"/>
          <w:szCs w:val="20"/>
          <w:lang w:val="en-US"/>
        </w:rPr>
        <w:t xml:space="preserve">.  </w:t>
      </w:r>
      <w:r w:rsidR="00FD7D76">
        <w:rPr>
          <w:rFonts w:eastAsiaTheme="minorEastAsia"/>
          <w:szCs w:val="20"/>
          <w:lang w:val="en-US"/>
        </w:rPr>
        <w:t>The Canaanite Jars</w:t>
      </w:r>
      <w:r w:rsidR="00613294">
        <w:rPr>
          <w:rFonts w:eastAsiaTheme="minorEastAsia"/>
          <w:szCs w:val="20"/>
          <w:lang w:val="en-US"/>
        </w:rPr>
        <w:t xml:space="preserve"> typif</w:t>
      </w:r>
      <w:r w:rsidR="00353EA9">
        <w:rPr>
          <w:rFonts w:eastAsiaTheme="minorEastAsia"/>
          <w:szCs w:val="20"/>
          <w:lang w:val="en-US"/>
        </w:rPr>
        <w:t>ied</w:t>
      </w:r>
      <w:r w:rsidR="00613294">
        <w:rPr>
          <w:rFonts w:eastAsiaTheme="minorEastAsia"/>
          <w:szCs w:val="20"/>
          <w:lang w:val="en-US"/>
        </w:rPr>
        <w:t xml:space="preserve"> the</w:t>
      </w:r>
      <w:r w:rsidR="00FD7D76">
        <w:rPr>
          <w:rFonts w:eastAsiaTheme="minorEastAsia"/>
          <w:szCs w:val="20"/>
          <w:lang w:val="en-US"/>
        </w:rPr>
        <w:t xml:space="preserve"> </w:t>
      </w:r>
      <w:r w:rsidR="00D75C01">
        <w:rPr>
          <w:rFonts w:eastAsiaTheme="minorEastAsia"/>
          <w:szCs w:val="20"/>
          <w:lang w:val="en-US"/>
        </w:rPr>
        <w:t>picture</w:t>
      </w:r>
      <w:r w:rsidR="00353EA9">
        <w:rPr>
          <w:rFonts w:eastAsiaTheme="minorEastAsia"/>
          <w:szCs w:val="20"/>
          <w:lang w:val="en-US"/>
        </w:rPr>
        <w:t xml:space="preserve"> of where the</w:t>
      </w:r>
      <w:r w:rsidR="00D75C01">
        <w:rPr>
          <w:rFonts w:eastAsiaTheme="minorEastAsia"/>
          <w:szCs w:val="20"/>
          <w:lang w:val="en-US"/>
        </w:rPr>
        <w:t xml:space="preserve"> </w:t>
      </w:r>
      <w:r w:rsidR="00353EA9">
        <w:rPr>
          <w:rFonts w:eastAsiaTheme="minorEastAsia"/>
          <w:szCs w:val="20"/>
          <w:lang w:val="en-US"/>
        </w:rPr>
        <w:t>imported pottery originated from</w:t>
      </w:r>
      <w:r w:rsidR="00FD7D76">
        <w:rPr>
          <w:rFonts w:eastAsiaTheme="minorEastAsia"/>
          <w:szCs w:val="20"/>
          <w:lang w:val="en-US"/>
        </w:rPr>
        <w:t>:</w:t>
      </w:r>
      <w:r w:rsidR="00804B55">
        <w:rPr>
          <w:rFonts w:eastAsiaTheme="minorEastAsia"/>
          <w:szCs w:val="20"/>
          <w:lang w:val="en-US"/>
        </w:rPr>
        <w:t xml:space="preserve"> </w:t>
      </w:r>
      <w:r w:rsidRPr="0059317C">
        <w:rPr>
          <w:rFonts w:eastAsiaTheme="minorEastAsia"/>
          <w:szCs w:val="20"/>
          <w:lang w:val="en-US"/>
        </w:rPr>
        <w:t>13 of the</w:t>
      </w:r>
      <w:r w:rsidR="00B41CDB" w:rsidRPr="0059317C">
        <w:rPr>
          <w:rFonts w:eastAsiaTheme="minorEastAsia"/>
          <w:szCs w:val="20"/>
          <w:lang w:val="en-US"/>
        </w:rPr>
        <w:t xml:space="preserve"> </w:t>
      </w:r>
      <w:r w:rsidRPr="0059317C">
        <w:rPr>
          <w:rFonts w:eastAsiaTheme="minorEastAsia"/>
          <w:szCs w:val="20"/>
          <w:lang w:val="en-US"/>
        </w:rPr>
        <w:t>20 jars (60%) tested belonged to the Southern Palestine group, fully in keeping with the percentage of imports from this region in later periods</w:t>
      </w:r>
      <w:r w:rsidR="006D4D15">
        <w:rPr>
          <w:rFonts w:eastAsiaTheme="minorEastAsia"/>
          <w:szCs w:val="20"/>
          <w:lang w:val="en-US"/>
        </w:rPr>
        <w:t xml:space="preserve">, </w:t>
      </w:r>
      <w:r w:rsidR="002F2AF9">
        <w:rPr>
          <w:rFonts w:eastAsiaTheme="minorEastAsia"/>
          <w:szCs w:val="20"/>
          <w:lang w:val="en-US"/>
        </w:rPr>
        <w:t xml:space="preserve">except </w:t>
      </w:r>
      <w:r w:rsidR="00613294">
        <w:rPr>
          <w:rFonts w:eastAsiaTheme="minorEastAsia"/>
          <w:szCs w:val="20"/>
          <w:lang w:val="en-US"/>
        </w:rPr>
        <w:t>for</w:t>
      </w:r>
      <w:r w:rsidR="002F2AF9">
        <w:rPr>
          <w:rFonts w:eastAsiaTheme="minorEastAsia"/>
          <w:szCs w:val="20"/>
          <w:lang w:val="en-US"/>
        </w:rPr>
        <w:t xml:space="preserve"> MB IIB-C when the percentage rises to 90-100%</w:t>
      </w:r>
      <w:r w:rsidR="00613294">
        <w:rPr>
          <w:rFonts w:eastAsiaTheme="minorEastAsia"/>
          <w:szCs w:val="20"/>
          <w:lang w:val="en-US"/>
        </w:rPr>
        <w:t xml:space="preserve"> </w:t>
      </w:r>
      <w:r w:rsidR="002F2AF9" w:rsidRPr="0059317C">
        <w:rPr>
          <w:rFonts w:eastAsiaTheme="minorEastAsia"/>
          <w:szCs w:val="20"/>
          <w:lang w:val="en-US"/>
        </w:rPr>
        <w:t>(p. 73</w:t>
      </w:r>
      <w:r w:rsidR="002F2AF9">
        <w:rPr>
          <w:rFonts w:eastAsiaTheme="minorEastAsia"/>
          <w:szCs w:val="20"/>
          <w:lang w:val="en-US"/>
        </w:rPr>
        <w:t>; compare Fig. 26)</w:t>
      </w:r>
      <w:r w:rsidRPr="0059317C">
        <w:rPr>
          <w:rFonts w:eastAsiaTheme="minorEastAsia"/>
          <w:szCs w:val="20"/>
          <w:lang w:val="en-US"/>
        </w:rPr>
        <w:t>.  The northern Levant, including Byblos, did not produce a single NAA match</w:t>
      </w:r>
      <w:r w:rsidR="002F2AF9">
        <w:rPr>
          <w:rFonts w:eastAsiaTheme="minorEastAsia"/>
          <w:szCs w:val="20"/>
          <w:lang w:val="en-US"/>
        </w:rPr>
        <w:t xml:space="preserve"> for the group</w:t>
      </w:r>
      <w:r w:rsidRPr="0059317C">
        <w:rPr>
          <w:rFonts w:eastAsiaTheme="minorEastAsia"/>
          <w:szCs w:val="20"/>
          <w:lang w:val="en-US"/>
        </w:rPr>
        <w:t>.</w:t>
      </w:r>
    </w:p>
    <w:p w14:paraId="67B905DE" w14:textId="77777777" w:rsidR="005125F6" w:rsidRPr="0059317C" w:rsidRDefault="005125F6" w:rsidP="005125F6">
      <w:pPr>
        <w:widowControl w:val="0"/>
        <w:autoSpaceDE w:val="0"/>
        <w:autoSpaceDN w:val="0"/>
        <w:adjustRightInd w:val="0"/>
        <w:spacing w:after="0" w:line="240" w:lineRule="auto"/>
        <w:rPr>
          <w:rFonts w:eastAsiaTheme="minorEastAsia"/>
          <w:szCs w:val="20"/>
          <w:lang w:val="en-US"/>
        </w:rPr>
      </w:pPr>
    </w:p>
    <w:p w14:paraId="4022F662" w14:textId="77777777" w:rsidR="005125F6" w:rsidRPr="0059317C" w:rsidRDefault="005125F6" w:rsidP="005125F6">
      <w:pPr>
        <w:widowControl w:val="0"/>
        <w:autoSpaceDE w:val="0"/>
        <w:autoSpaceDN w:val="0"/>
        <w:adjustRightInd w:val="0"/>
        <w:spacing w:after="0" w:line="240" w:lineRule="auto"/>
        <w:rPr>
          <w:rFonts w:eastAsiaTheme="minorEastAsia"/>
          <w:szCs w:val="20"/>
          <w:lang w:val="en-US"/>
        </w:rPr>
      </w:pPr>
      <w:r w:rsidRPr="0059317C">
        <w:rPr>
          <w:rFonts w:eastAsiaTheme="minorEastAsia"/>
          <w:szCs w:val="20"/>
          <w:lang w:val="en-US"/>
        </w:rPr>
        <w:t xml:space="preserve">I then proposed to Dr. Bietak that we put his hypothesis to yet another test.  Since Ashkelon was currently being excavated by Dr. Lawrence E. Stager of Harvard’s Semitic Museum and had already produced what was the best stratified MBA sequence for Southern Palestine, why not carry out NAA analyses on pottery from this site, to see whether the chemistry of local pottery there matched the imported pottery at </w:t>
      </w:r>
      <w:r w:rsidR="00A860BC" w:rsidRPr="0059317C">
        <w:rPr>
          <w:rFonts w:eastAsiaTheme="minorEastAsia"/>
          <w:szCs w:val="20"/>
          <w:lang w:val="de-DE"/>
        </w:rPr>
        <w:t>Tell el-</w:t>
      </w:r>
      <w:r w:rsidRPr="0059317C">
        <w:rPr>
          <w:rFonts w:eastAsiaTheme="minorEastAsia"/>
          <w:szCs w:val="20"/>
          <w:lang w:val="en-US"/>
        </w:rPr>
        <w:t xml:space="preserve">Dab`a assigned to “Southern Palestine?”  </w:t>
      </w:r>
    </w:p>
    <w:p w14:paraId="1852D430" w14:textId="77777777" w:rsidR="005125F6" w:rsidRPr="0059317C" w:rsidRDefault="005125F6" w:rsidP="005125F6">
      <w:pPr>
        <w:widowControl w:val="0"/>
        <w:autoSpaceDE w:val="0"/>
        <w:autoSpaceDN w:val="0"/>
        <w:adjustRightInd w:val="0"/>
        <w:spacing w:after="0" w:line="240" w:lineRule="auto"/>
        <w:rPr>
          <w:rFonts w:eastAsiaTheme="minorEastAsia"/>
          <w:szCs w:val="20"/>
          <w:lang w:val="en-US"/>
        </w:rPr>
      </w:pPr>
    </w:p>
    <w:p w14:paraId="3CA2ECF6" w14:textId="0067EE96" w:rsidR="005125F6" w:rsidRPr="0059317C" w:rsidRDefault="005125F6" w:rsidP="005125F6">
      <w:pPr>
        <w:widowControl w:val="0"/>
        <w:autoSpaceDE w:val="0"/>
        <w:autoSpaceDN w:val="0"/>
        <w:adjustRightInd w:val="0"/>
        <w:spacing w:after="0" w:line="240" w:lineRule="auto"/>
        <w:rPr>
          <w:rFonts w:eastAsiaTheme="minorEastAsia"/>
          <w:szCs w:val="20"/>
          <w:lang w:val="en-US"/>
        </w:rPr>
      </w:pPr>
      <w:r w:rsidRPr="0059317C">
        <w:rPr>
          <w:rFonts w:eastAsiaTheme="minorEastAsia"/>
          <w:szCs w:val="20"/>
          <w:lang w:val="en-US"/>
        </w:rPr>
        <w:t xml:space="preserve">Bietak agreed, and Stager provided our project with </w:t>
      </w:r>
      <w:r w:rsidR="009D4448">
        <w:rPr>
          <w:rFonts w:eastAsiaTheme="minorEastAsia"/>
          <w:szCs w:val="20"/>
          <w:lang w:val="en-US"/>
        </w:rPr>
        <w:t>50</w:t>
      </w:r>
      <w:r w:rsidR="00F62D63">
        <w:rPr>
          <w:rFonts w:eastAsiaTheme="minorEastAsia"/>
          <w:szCs w:val="20"/>
          <w:lang w:val="en-US"/>
        </w:rPr>
        <w:t xml:space="preserve"> </w:t>
      </w:r>
      <w:r w:rsidRPr="0059317C">
        <w:rPr>
          <w:rFonts w:eastAsiaTheme="minorEastAsia"/>
          <w:szCs w:val="20"/>
          <w:lang w:val="en-US"/>
        </w:rPr>
        <w:t>pottery sherds from his site</w:t>
      </w:r>
      <w:r w:rsidR="008B42B3">
        <w:rPr>
          <w:rFonts w:eastAsiaTheme="minorEastAsia"/>
          <w:szCs w:val="20"/>
          <w:lang w:val="en-US"/>
        </w:rPr>
        <w:t xml:space="preserve">, </w:t>
      </w:r>
      <w:r w:rsidR="000F19BA">
        <w:rPr>
          <w:rFonts w:eastAsiaTheme="minorEastAsia"/>
          <w:szCs w:val="20"/>
          <w:lang w:val="en-US"/>
        </w:rPr>
        <w:t xml:space="preserve">again </w:t>
      </w:r>
      <w:r w:rsidRPr="0059317C">
        <w:rPr>
          <w:rFonts w:eastAsiaTheme="minorEastAsia"/>
          <w:szCs w:val="20"/>
          <w:lang w:val="en-US"/>
        </w:rPr>
        <w:t xml:space="preserve">covering </w:t>
      </w:r>
      <w:r w:rsidR="000F19BA">
        <w:rPr>
          <w:rFonts w:eastAsiaTheme="minorEastAsia"/>
          <w:szCs w:val="20"/>
          <w:lang w:val="en-US"/>
        </w:rPr>
        <w:t xml:space="preserve">later </w:t>
      </w:r>
      <w:r w:rsidRPr="0059317C">
        <w:rPr>
          <w:rFonts w:eastAsiaTheme="minorEastAsia"/>
          <w:szCs w:val="20"/>
          <w:lang w:val="en-US"/>
        </w:rPr>
        <w:t>MB</w:t>
      </w:r>
      <w:r w:rsidR="00C15B38">
        <w:rPr>
          <w:rFonts w:eastAsiaTheme="minorEastAsia"/>
          <w:szCs w:val="20"/>
          <w:lang w:val="en-US"/>
        </w:rPr>
        <w:t xml:space="preserve"> II</w:t>
      </w:r>
      <w:r w:rsidRPr="0059317C">
        <w:rPr>
          <w:rFonts w:eastAsiaTheme="minorEastAsia"/>
          <w:szCs w:val="20"/>
          <w:lang w:val="en-US"/>
        </w:rPr>
        <w:t>A</w:t>
      </w:r>
      <w:r w:rsidR="00C15B38">
        <w:rPr>
          <w:rFonts w:eastAsiaTheme="minorEastAsia"/>
          <w:szCs w:val="20"/>
          <w:lang w:val="en-US"/>
        </w:rPr>
        <w:t xml:space="preserve"> through </w:t>
      </w:r>
      <w:r w:rsidR="000F19BA">
        <w:rPr>
          <w:rFonts w:eastAsiaTheme="minorEastAsia"/>
          <w:szCs w:val="20"/>
          <w:lang w:val="en-US"/>
        </w:rPr>
        <w:t xml:space="preserve">to </w:t>
      </w:r>
      <w:r w:rsidR="00C15B38">
        <w:rPr>
          <w:rFonts w:eastAsiaTheme="minorEastAsia"/>
          <w:szCs w:val="20"/>
          <w:lang w:val="en-US"/>
        </w:rPr>
        <w:t xml:space="preserve">the end of the </w:t>
      </w:r>
      <w:r w:rsidR="008B42B3">
        <w:rPr>
          <w:rFonts w:eastAsiaTheme="minorEastAsia"/>
          <w:szCs w:val="20"/>
          <w:lang w:val="en-US"/>
        </w:rPr>
        <w:t>MBA</w:t>
      </w:r>
      <w:r w:rsidRPr="0059317C">
        <w:rPr>
          <w:rFonts w:eastAsiaTheme="minorEastAsia"/>
          <w:szCs w:val="20"/>
          <w:lang w:val="en-US"/>
        </w:rPr>
        <w:t xml:space="preserve">.  The pottery types, very similar to those of same periods at </w:t>
      </w:r>
      <w:r w:rsidR="00A860BC" w:rsidRPr="0059317C">
        <w:rPr>
          <w:rFonts w:eastAsiaTheme="minorEastAsia"/>
          <w:szCs w:val="20"/>
          <w:lang w:val="de-DE"/>
        </w:rPr>
        <w:t>Tell el-</w:t>
      </w:r>
      <w:r w:rsidRPr="0059317C">
        <w:rPr>
          <w:rFonts w:eastAsiaTheme="minorEastAsia"/>
          <w:szCs w:val="20"/>
          <w:lang w:val="en-US"/>
        </w:rPr>
        <w:t>Dab`a, included Canaanite Jars, jugs, juglets</w:t>
      </w:r>
      <w:r w:rsidR="006E5F47" w:rsidRPr="0059317C">
        <w:rPr>
          <w:rFonts w:eastAsiaTheme="minorEastAsia"/>
          <w:szCs w:val="20"/>
          <w:lang w:val="en-US"/>
        </w:rPr>
        <w:t>,</w:t>
      </w:r>
      <w:r w:rsidRPr="0059317C">
        <w:rPr>
          <w:rFonts w:eastAsiaTheme="minorEastAsia"/>
          <w:szCs w:val="20"/>
          <w:lang w:val="en-US"/>
        </w:rPr>
        <w:t xml:space="preserve"> jars, bowls, and cooking pots, together with </w:t>
      </w:r>
      <w:r w:rsidR="00613B84" w:rsidRPr="0059317C">
        <w:rPr>
          <w:rFonts w:eastAsiaTheme="minorEastAsia"/>
          <w:szCs w:val="20"/>
          <w:lang w:val="en-US"/>
        </w:rPr>
        <w:t>p</w:t>
      </w:r>
      <w:r w:rsidR="00613B84">
        <w:rPr>
          <w:rFonts w:eastAsiaTheme="minorEastAsia"/>
          <w:szCs w:val="20"/>
          <w:lang w:val="en-US"/>
        </w:rPr>
        <w:t>ossi</w:t>
      </w:r>
      <w:r w:rsidR="00613B84" w:rsidRPr="0059317C">
        <w:rPr>
          <w:rFonts w:eastAsiaTheme="minorEastAsia"/>
          <w:szCs w:val="20"/>
          <w:lang w:val="en-US"/>
        </w:rPr>
        <w:t>ble Levantine Painted Ware</w:t>
      </w:r>
      <w:r w:rsidR="008970FB">
        <w:rPr>
          <w:rFonts w:eastAsiaTheme="minorEastAsia"/>
          <w:szCs w:val="20"/>
          <w:lang w:val="en-US"/>
        </w:rPr>
        <w:t xml:space="preserve"> (LPW)</w:t>
      </w:r>
      <w:r w:rsidR="00613B84">
        <w:rPr>
          <w:rFonts w:eastAsiaTheme="minorEastAsia"/>
          <w:szCs w:val="20"/>
          <w:lang w:val="en-US"/>
        </w:rPr>
        <w:t xml:space="preserve">, </w:t>
      </w:r>
      <w:r w:rsidRPr="0059317C">
        <w:rPr>
          <w:rFonts w:eastAsiaTheme="minorEastAsia"/>
          <w:szCs w:val="20"/>
          <w:lang w:val="en-US"/>
        </w:rPr>
        <w:t xml:space="preserve">Chocolate-on-White </w:t>
      </w:r>
      <w:r w:rsidR="009B3EF1">
        <w:rPr>
          <w:rFonts w:eastAsiaTheme="minorEastAsia"/>
          <w:szCs w:val="20"/>
          <w:lang w:val="en-US"/>
        </w:rPr>
        <w:t>Ware</w:t>
      </w:r>
      <w:r w:rsidR="0027412A">
        <w:rPr>
          <w:rFonts w:eastAsiaTheme="minorEastAsia"/>
          <w:szCs w:val="20"/>
          <w:lang w:val="en-US"/>
        </w:rPr>
        <w:t>,</w:t>
      </w:r>
      <w:r w:rsidR="009B3EF1">
        <w:rPr>
          <w:rFonts w:eastAsiaTheme="minorEastAsia"/>
          <w:szCs w:val="20"/>
          <w:lang w:val="en-US"/>
        </w:rPr>
        <w:t xml:space="preserve"> </w:t>
      </w:r>
      <w:r w:rsidR="009B3EF1" w:rsidRPr="00CB5226">
        <w:rPr>
          <w:rFonts w:eastAsiaTheme="minorEastAsia"/>
          <w:szCs w:val="20"/>
          <w:lang w:val="en-US"/>
        </w:rPr>
        <w:t>painted Cypriot White Slip Ware</w:t>
      </w:r>
      <w:r w:rsidR="009B3EF1">
        <w:rPr>
          <w:rFonts w:eastAsiaTheme="minorEastAsia"/>
          <w:szCs w:val="20"/>
          <w:lang w:val="en-US"/>
        </w:rPr>
        <w:t>,</w:t>
      </w:r>
      <w:r w:rsidR="009B3EF1" w:rsidRPr="00CB5226">
        <w:rPr>
          <w:rFonts w:eastAsiaTheme="minorEastAsia"/>
          <w:szCs w:val="20"/>
          <w:lang w:val="en-US"/>
        </w:rPr>
        <w:t xml:space="preserve"> </w:t>
      </w:r>
      <w:r w:rsidR="009B3EF1">
        <w:rPr>
          <w:rFonts w:eastAsiaTheme="minorEastAsia"/>
          <w:szCs w:val="20"/>
          <w:lang w:val="en-US"/>
        </w:rPr>
        <w:t>and</w:t>
      </w:r>
      <w:r w:rsidR="0027412A">
        <w:rPr>
          <w:rFonts w:eastAsiaTheme="minorEastAsia"/>
          <w:szCs w:val="20"/>
          <w:lang w:val="en-US"/>
        </w:rPr>
        <w:t xml:space="preserve"> </w:t>
      </w:r>
      <w:r w:rsidR="009B3EF1">
        <w:rPr>
          <w:rFonts w:eastAsiaTheme="minorEastAsia"/>
          <w:szCs w:val="20"/>
          <w:lang w:val="en-US"/>
        </w:rPr>
        <w:t xml:space="preserve">Painted </w:t>
      </w:r>
      <w:r w:rsidR="0027412A">
        <w:rPr>
          <w:rFonts w:eastAsiaTheme="minorEastAsia"/>
          <w:szCs w:val="20"/>
          <w:lang w:val="en-US"/>
        </w:rPr>
        <w:t>Bichrome</w:t>
      </w:r>
      <w:r w:rsidR="009B3EF1">
        <w:rPr>
          <w:rFonts w:eastAsiaTheme="minorEastAsia"/>
          <w:szCs w:val="20"/>
          <w:lang w:val="en-US"/>
        </w:rPr>
        <w:t xml:space="preserve"> pottery </w:t>
      </w:r>
      <w:r w:rsidRPr="0059317C">
        <w:rPr>
          <w:rFonts w:eastAsiaTheme="minorEastAsia"/>
          <w:szCs w:val="20"/>
          <w:lang w:val="en-US"/>
        </w:rPr>
        <w:t>(PMG</w:t>
      </w:r>
      <w:r w:rsidR="000B0E4D" w:rsidRPr="0059317C">
        <w:rPr>
          <w:rFonts w:eastAsiaTheme="minorEastAsia"/>
          <w:szCs w:val="20"/>
          <w:lang w:val="en-US"/>
        </w:rPr>
        <w:t>518-5</w:t>
      </w:r>
      <w:r w:rsidR="009D4448">
        <w:rPr>
          <w:rFonts w:eastAsiaTheme="minorEastAsia"/>
          <w:szCs w:val="20"/>
          <w:lang w:val="en-US"/>
        </w:rPr>
        <w:t>67</w:t>
      </w:r>
      <w:r w:rsidR="007B68B0">
        <w:rPr>
          <w:rFonts w:eastAsiaTheme="minorEastAsia"/>
          <w:szCs w:val="20"/>
          <w:lang w:val="en-US"/>
        </w:rPr>
        <w:t xml:space="preserve">; </w:t>
      </w:r>
      <w:r w:rsidR="00CA27AD">
        <w:rPr>
          <w:rFonts w:eastAsiaTheme="minorEastAsia"/>
          <w:szCs w:val="20"/>
          <w:lang w:val="en-US"/>
        </w:rPr>
        <w:t xml:space="preserve">published </w:t>
      </w:r>
      <w:r w:rsidR="009B3EF1">
        <w:rPr>
          <w:rFonts w:eastAsiaTheme="minorEastAsia"/>
          <w:szCs w:val="20"/>
          <w:lang w:val="en-US"/>
        </w:rPr>
        <w:t xml:space="preserve">here for the first time </w:t>
      </w:r>
      <w:r w:rsidR="00BD50D7">
        <w:rPr>
          <w:rFonts w:eastAsiaTheme="minorEastAsia"/>
          <w:szCs w:val="20"/>
          <w:lang w:val="en-US"/>
        </w:rPr>
        <w:t>as</w:t>
      </w:r>
      <w:r w:rsidR="006C6C57">
        <w:rPr>
          <w:rFonts w:eastAsiaTheme="minorEastAsia"/>
          <w:szCs w:val="20"/>
          <w:lang w:val="en-US"/>
        </w:rPr>
        <w:t xml:space="preserve"> Table</w:t>
      </w:r>
      <w:r w:rsidR="00AB16D0">
        <w:rPr>
          <w:rFonts w:eastAsiaTheme="minorEastAsia"/>
          <w:szCs w:val="20"/>
          <w:lang w:val="en-US"/>
        </w:rPr>
        <w:t xml:space="preserve"> 47</w:t>
      </w:r>
      <w:r w:rsidR="000627B5">
        <w:rPr>
          <w:rFonts w:eastAsiaTheme="minorEastAsia"/>
          <w:szCs w:val="20"/>
          <w:lang w:val="en-US"/>
        </w:rPr>
        <w:t>, below</w:t>
      </w:r>
      <w:r w:rsidRPr="0059317C">
        <w:rPr>
          <w:rFonts w:eastAsiaTheme="minorEastAsia"/>
          <w:szCs w:val="20"/>
          <w:lang w:val="en-US"/>
        </w:rPr>
        <w:t xml:space="preserve">). </w:t>
      </w:r>
      <w:r w:rsidR="00F916BA" w:rsidRPr="0059317C">
        <w:rPr>
          <w:rFonts w:eastAsiaTheme="minorEastAsia"/>
          <w:szCs w:val="20"/>
          <w:lang w:val="en-US"/>
        </w:rPr>
        <w:t xml:space="preserve"> </w:t>
      </w:r>
      <w:r w:rsidR="00B2197B" w:rsidRPr="0059317C">
        <w:rPr>
          <w:rFonts w:eastAsiaTheme="minorEastAsia"/>
          <w:szCs w:val="20"/>
          <w:lang w:val="en-US"/>
        </w:rPr>
        <w:t>Thirty-</w:t>
      </w:r>
      <w:r w:rsidR="00853580">
        <w:rPr>
          <w:rFonts w:eastAsiaTheme="minorEastAsia"/>
          <w:szCs w:val="20"/>
          <w:lang w:val="en-US"/>
        </w:rPr>
        <w:t>two</w:t>
      </w:r>
      <w:r w:rsidR="00853580" w:rsidRPr="0059317C">
        <w:rPr>
          <w:rFonts w:eastAsiaTheme="minorEastAsia"/>
          <w:szCs w:val="20"/>
          <w:lang w:val="en-US"/>
        </w:rPr>
        <w:t xml:space="preserve"> </w:t>
      </w:r>
      <w:r w:rsidRPr="0059317C">
        <w:rPr>
          <w:rFonts w:eastAsiaTheme="minorEastAsia"/>
          <w:szCs w:val="20"/>
          <w:lang w:val="en-US"/>
        </w:rPr>
        <w:t xml:space="preserve">of </w:t>
      </w:r>
      <w:r w:rsidR="00D63130">
        <w:rPr>
          <w:rFonts w:eastAsiaTheme="minorEastAsia"/>
          <w:szCs w:val="20"/>
          <w:lang w:val="en-US"/>
        </w:rPr>
        <w:t xml:space="preserve">the </w:t>
      </w:r>
      <w:r w:rsidR="003E4361">
        <w:rPr>
          <w:rFonts w:eastAsiaTheme="minorEastAsia"/>
          <w:szCs w:val="20"/>
          <w:lang w:val="en-US"/>
        </w:rPr>
        <w:t>samples</w:t>
      </w:r>
      <w:r w:rsidRPr="0059317C">
        <w:rPr>
          <w:rFonts w:eastAsiaTheme="minorEastAsia"/>
          <w:szCs w:val="20"/>
          <w:lang w:val="en-US"/>
        </w:rPr>
        <w:t xml:space="preserve"> (6</w:t>
      </w:r>
      <w:r w:rsidR="0080109A">
        <w:rPr>
          <w:rFonts w:eastAsiaTheme="minorEastAsia"/>
          <w:szCs w:val="20"/>
          <w:lang w:val="en-US"/>
        </w:rPr>
        <w:t>2</w:t>
      </w:r>
      <w:r w:rsidRPr="0059317C">
        <w:rPr>
          <w:rFonts w:eastAsiaTheme="minorEastAsia"/>
          <w:szCs w:val="20"/>
          <w:lang w:val="en-US"/>
        </w:rPr>
        <w:t xml:space="preserve">%) fell squarely, to a very high level of probability, into our well-established chemical grouping for the Gaza </w:t>
      </w:r>
      <w:r w:rsidRPr="0059317C">
        <w:rPr>
          <w:rFonts w:eastAsiaTheme="minorEastAsia"/>
          <w:szCs w:val="20"/>
          <w:lang w:val="en-US"/>
        </w:rPr>
        <w:lastRenderedPageBreak/>
        <w:t xml:space="preserve">sites, i.e., they had been locally produced using the loess clay of Southern Palestine.  If another </w:t>
      </w:r>
      <w:r w:rsidR="00FC64D3">
        <w:rPr>
          <w:rFonts w:eastAsiaTheme="minorEastAsia"/>
          <w:szCs w:val="20"/>
          <w:lang w:val="en-US"/>
        </w:rPr>
        <w:t>9</w:t>
      </w:r>
      <w:r w:rsidR="00FC64D3" w:rsidRPr="0059317C">
        <w:rPr>
          <w:rFonts w:eastAsiaTheme="minorEastAsia"/>
          <w:szCs w:val="20"/>
          <w:lang w:val="en-US"/>
        </w:rPr>
        <w:t xml:space="preserve"> </w:t>
      </w:r>
      <w:r w:rsidRPr="0059317C">
        <w:rPr>
          <w:rFonts w:eastAsiaTheme="minorEastAsia"/>
          <w:szCs w:val="20"/>
          <w:lang w:val="en-US"/>
        </w:rPr>
        <w:t xml:space="preserve">sherds, which also likely belonged to this group, albeit at a lower probability level, were included, the percentage from Southern Palestine rose to 80%.  Three sherds of Southern Palestinian type were made of Egyptian Nile alluvial clay.  Finally, </w:t>
      </w:r>
      <w:r w:rsidR="00FC64D3">
        <w:rPr>
          <w:rFonts w:eastAsiaTheme="minorEastAsia"/>
          <w:szCs w:val="20"/>
          <w:lang w:val="en-US"/>
        </w:rPr>
        <w:t>6</w:t>
      </w:r>
      <w:r w:rsidR="00FC64D3" w:rsidRPr="0059317C">
        <w:rPr>
          <w:rFonts w:eastAsiaTheme="minorEastAsia"/>
          <w:szCs w:val="20"/>
          <w:lang w:val="en-US"/>
        </w:rPr>
        <w:t xml:space="preserve"> </w:t>
      </w:r>
      <w:r w:rsidRPr="0059317C">
        <w:rPr>
          <w:rFonts w:eastAsiaTheme="minorEastAsia"/>
          <w:szCs w:val="20"/>
          <w:lang w:val="en-US"/>
        </w:rPr>
        <w:t>samples</w:t>
      </w:r>
      <w:r w:rsidR="00B42449" w:rsidRPr="0059317C">
        <w:rPr>
          <w:rFonts w:eastAsiaTheme="minorEastAsia"/>
          <w:szCs w:val="20"/>
          <w:lang w:val="en-US"/>
        </w:rPr>
        <w:t>—</w:t>
      </w:r>
      <w:r w:rsidR="00ED44CE">
        <w:rPr>
          <w:rFonts w:eastAsiaTheme="minorEastAsia"/>
          <w:szCs w:val="20"/>
          <w:lang w:val="en-US"/>
        </w:rPr>
        <w:t>2</w:t>
      </w:r>
      <w:r w:rsidR="000627B5" w:rsidRPr="0059317C">
        <w:rPr>
          <w:rFonts w:eastAsiaTheme="minorEastAsia"/>
          <w:szCs w:val="20"/>
          <w:lang w:val="en-US"/>
        </w:rPr>
        <w:t xml:space="preserve"> </w:t>
      </w:r>
      <w:r w:rsidRPr="0059317C">
        <w:rPr>
          <w:rFonts w:eastAsiaTheme="minorEastAsia"/>
          <w:szCs w:val="20"/>
          <w:lang w:val="en-US"/>
        </w:rPr>
        <w:t>jugs</w:t>
      </w:r>
      <w:r w:rsidR="00ED44CE">
        <w:rPr>
          <w:rFonts w:eastAsiaTheme="minorEastAsia"/>
          <w:szCs w:val="20"/>
          <w:lang w:val="en-US"/>
        </w:rPr>
        <w:t xml:space="preserve">, </w:t>
      </w:r>
      <w:r w:rsidR="00ED44CE" w:rsidRPr="0059317C">
        <w:rPr>
          <w:rFonts w:eastAsiaTheme="minorEastAsia"/>
          <w:szCs w:val="20"/>
          <w:lang w:val="en-US"/>
        </w:rPr>
        <w:t xml:space="preserve">a </w:t>
      </w:r>
      <w:r w:rsidR="00ED44CE">
        <w:rPr>
          <w:rFonts w:eastAsiaTheme="minorEastAsia"/>
          <w:szCs w:val="20"/>
          <w:lang w:val="en-US"/>
        </w:rPr>
        <w:t xml:space="preserve">jug or </w:t>
      </w:r>
      <w:r w:rsidR="00ED44CE" w:rsidRPr="0059317C">
        <w:rPr>
          <w:rFonts w:eastAsiaTheme="minorEastAsia"/>
          <w:szCs w:val="20"/>
          <w:lang w:val="en-US"/>
        </w:rPr>
        <w:t xml:space="preserve">cooking pot, </w:t>
      </w:r>
      <w:r w:rsidR="00ED44CE">
        <w:rPr>
          <w:rFonts w:eastAsiaTheme="minorEastAsia"/>
          <w:szCs w:val="20"/>
          <w:lang w:val="en-US"/>
        </w:rPr>
        <w:t xml:space="preserve">a possible </w:t>
      </w:r>
      <w:r w:rsidR="00ED44CE" w:rsidRPr="00ED44CE">
        <w:rPr>
          <w:rFonts w:eastAsiaTheme="minorEastAsia"/>
          <w:szCs w:val="20"/>
          <w:lang w:val="en-US"/>
        </w:rPr>
        <w:t>Lish</w:t>
      </w:r>
      <w:r w:rsidR="00ED44CE">
        <w:rPr>
          <w:rFonts w:eastAsiaTheme="minorEastAsia"/>
          <w:szCs w:val="20"/>
          <w:lang w:val="en-US"/>
        </w:rPr>
        <w:t xml:space="preserve">t </w:t>
      </w:r>
      <w:r w:rsidR="00853580">
        <w:rPr>
          <w:rFonts w:eastAsiaTheme="minorEastAsia"/>
          <w:szCs w:val="20"/>
          <w:lang w:val="en-US"/>
        </w:rPr>
        <w:t>W</w:t>
      </w:r>
      <w:r w:rsidR="00ED44CE">
        <w:rPr>
          <w:rFonts w:eastAsiaTheme="minorEastAsia"/>
          <w:szCs w:val="20"/>
          <w:lang w:val="en-US"/>
        </w:rPr>
        <w:t xml:space="preserve">are </w:t>
      </w:r>
      <w:r w:rsidR="00ED44CE" w:rsidRPr="00ED44CE">
        <w:rPr>
          <w:rFonts w:eastAsiaTheme="minorEastAsia"/>
          <w:szCs w:val="20"/>
          <w:lang w:val="en-US"/>
        </w:rPr>
        <w:t>juglet</w:t>
      </w:r>
      <w:r w:rsidRPr="0059317C">
        <w:rPr>
          <w:rFonts w:eastAsiaTheme="minorEastAsia"/>
          <w:szCs w:val="20"/>
          <w:lang w:val="en-US"/>
        </w:rPr>
        <w:t>,</w:t>
      </w:r>
      <w:r w:rsidR="00ED44CE">
        <w:rPr>
          <w:rFonts w:eastAsiaTheme="minorEastAsia"/>
          <w:szCs w:val="20"/>
          <w:lang w:val="en-US"/>
        </w:rPr>
        <w:t xml:space="preserve"> a cooking pot,</w:t>
      </w:r>
      <w:r w:rsidRPr="0059317C">
        <w:rPr>
          <w:rFonts w:eastAsiaTheme="minorEastAsia"/>
          <w:szCs w:val="20"/>
          <w:lang w:val="en-US"/>
        </w:rPr>
        <w:t xml:space="preserve"> and </w:t>
      </w:r>
      <w:r w:rsidR="00BF7A83">
        <w:rPr>
          <w:rFonts w:eastAsiaTheme="minorEastAsia"/>
          <w:szCs w:val="20"/>
          <w:lang w:val="en-US"/>
        </w:rPr>
        <w:t xml:space="preserve">a rim </w:t>
      </w:r>
      <w:r w:rsidRPr="0059317C">
        <w:rPr>
          <w:rFonts w:eastAsiaTheme="minorEastAsia"/>
          <w:szCs w:val="20"/>
          <w:lang w:val="en-US"/>
        </w:rPr>
        <w:t>sherd of uncertain type</w:t>
      </w:r>
      <w:r w:rsidR="00220055" w:rsidRPr="0059317C">
        <w:rPr>
          <w:rFonts w:eastAsiaTheme="minorEastAsia"/>
          <w:szCs w:val="20"/>
          <w:lang w:val="en-US"/>
        </w:rPr>
        <w:t>—</w:t>
      </w:r>
      <w:r w:rsidRPr="0059317C">
        <w:rPr>
          <w:rFonts w:eastAsiaTheme="minorEastAsia"/>
          <w:szCs w:val="20"/>
          <w:lang w:val="en-US"/>
        </w:rPr>
        <w:t xml:space="preserve">were of questionable </w:t>
      </w:r>
      <w:r w:rsidR="00841FCA" w:rsidRPr="0059317C">
        <w:rPr>
          <w:rFonts w:eastAsiaTheme="minorEastAsia"/>
          <w:szCs w:val="20"/>
          <w:lang w:val="en-US"/>
        </w:rPr>
        <w:t>provenance</w:t>
      </w:r>
      <w:r w:rsidRPr="0059317C">
        <w:rPr>
          <w:rFonts w:eastAsiaTheme="minorEastAsia"/>
          <w:szCs w:val="20"/>
          <w:lang w:val="en-US"/>
        </w:rPr>
        <w:t xml:space="preserve">.  The Ashkelon stratified sequence of MBA pottery had passed the test.  </w:t>
      </w:r>
      <w:bookmarkStart w:id="5" w:name="_Hlk1505945"/>
      <w:r w:rsidRPr="0059317C">
        <w:rPr>
          <w:rFonts w:eastAsiaTheme="minorEastAsia"/>
          <w:szCs w:val="20"/>
          <w:lang w:val="en-US"/>
        </w:rPr>
        <w:t>For all intents and purposes</w:t>
      </w:r>
      <w:bookmarkEnd w:id="5"/>
      <w:r w:rsidRPr="0059317C">
        <w:rPr>
          <w:rFonts w:eastAsiaTheme="minorEastAsia"/>
          <w:szCs w:val="20"/>
          <w:lang w:val="en-US"/>
        </w:rPr>
        <w:t>, Ash</w:t>
      </w:r>
      <w:r w:rsidR="00B2197B" w:rsidRPr="0059317C">
        <w:rPr>
          <w:rFonts w:eastAsiaTheme="minorEastAsia"/>
          <w:szCs w:val="20"/>
          <w:lang w:val="en-US"/>
        </w:rPr>
        <w:t>k</w:t>
      </w:r>
      <w:r w:rsidRPr="0059317C">
        <w:rPr>
          <w:rFonts w:eastAsiaTheme="minorEastAsia"/>
          <w:szCs w:val="20"/>
          <w:lang w:val="en-US"/>
        </w:rPr>
        <w:t>e</w:t>
      </w:r>
      <w:r w:rsidR="00B2197B" w:rsidRPr="0059317C">
        <w:rPr>
          <w:rFonts w:eastAsiaTheme="minorEastAsia"/>
          <w:szCs w:val="20"/>
          <w:lang w:val="en-US"/>
        </w:rPr>
        <w:t>l</w:t>
      </w:r>
      <w:r w:rsidRPr="0059317C">
        <w:rPr>
          <w:rFonts w:eastAsiaTheme="minorEastAsia"/>
          <w:szCs w:val="20"/>
          <w:lang w:val="en-US"/>
        </w:rPr>
        <w:t>on pottery, made in</w:t>
      </w:r>
      <w:r w:rsidR="00167B9D" w:rsidRPr="0059317C">
        <w:rPr>
          <w:rFonts w:eastAsiaTheme="minorEastAsia"/>
          <w:szCs w:val="20"/>
          <w:lang w:val="en-US"/>
        </w:rPr>
        <w:t xml:space="preserve"> </w:t>
      </w:r>
      <w:r w:rsidRPr="0059317C">
        <w:rPr>
          <w:rFonts w:eastAsiaTheme="minorEastAsia"/>
          <w:szCs w:val="20"/>
          <w:lang w:val="en-US"/>
        </w:rPr>
        <w:t xml:space="preserve">Southern Palestine, was identical to </w:t>
      </w:r>
      <w:r w:rsidR="008D1D88">
        <w:rPr>
          <w:rFonts w:eastAsiaTheme="minorEastAsia"/>
          <w:szCs w:val="20"/>
          <w:lang w:val="en-US"/>
        </w:rPr>
        <w:t>most</w:t>
      </w:r>
      <w:r w:rsidRPr="0059317C">
        <w:rPr>
          <w:rFonts w:eastAsiaTheme="minorEastAsia"/>
          <w:szCs w:val="20"/>
          <w:lang w:val="en-US"/>
        </w:rPr>
        <w:t xml:space="preserve"> of the imported pottery at </w:t>
      </w:r>
      <w:r w:rsidR="00A860BC" w:rsidRPr="0059317C">
        <w:rPr>
          <w:rFonts w:eastAsiaTheme="minorEastAsia"/>
          <w:szCs w:val="20"/>
          <w:lang w:val="de-DE"/>
        </w:rPr>
        <w:t>Tell el-</w:t>
      </w:r>
      <w:r w:rsidRPr="0059317C">
        <w:rPr>
          <w:rFonts w:eastAsiaTheme="minorEastAsia"/>
          <w:szCs w:val="20"/>
          <w:lang w:val="en-US"/>
        </w:rPr>
        <w:t xml:space="preserve">Dab`a.  </w:t>
      </w:r>
    </w:p>
    <w:p w14:paraId="516963B2" w14:textId="77777777" w:rsidR="005125F6" w:rsidRPr="0059317C" w:rsidRDefault="005125F6" w:rsidP="005125F6">
      <w:pPr>
        <w:widowControl w:val="0"/>
        <w:autoSpaceDE w:val="0"/>
        <w:autoSpaceDN w:val="0"/>
        <w:adjustRightInd w:val="0"/>
        <w:spacing w:after="0" w:line="240" w:lineRule="auto"/>
        <w:rPr>
          <w:rFonts w:eastAsiaTheme="minorEastAsia"/>
          <w:szCs w:val="20"/>
          <w:lang w:val="en-US"/>
        </w:rPr>
      </w:pPr>
    </w:p>
    <w:p w14:paraId="532284B2" w14:textId="2E38B1C2" w:rsidR="00130FA7" w:rsidRPr="0059317C" w:rsidRDefault="005125F6" w:rsidP="005125F6">
      <w:pPr>
        <w:widowControl w:val="0"/>
        <w:autoSpaceDE w:val="0"/>
        <w:autoSpaceDN w:val="0"/>
        <w:adjustRightInd w:val="0"/>
        <w:spacing w:after="0" w:line="240" w:lineRule="auto"/>
        <w:rPr>
          <w:rFonts w:eastAsiaTheme="minorEastAsia"/>
          <w:szCs w:val="20"/>
          <w:lang w:val="en-US"/>
        </w:rPr>
      </w:pPr>
      <w:r w:rsidRPr="0059317C">
        <w:rPr>
          <w:rFonts w:eastAsiaTheme="minorEastAsia"/>
          <w:szCs w:val="20"/>
          <w:lang w:val="en-US"/>
        </w:rPr>
        <w:t xml:space="preserve">Based on our original NAA findings of the very close ties of Southern Palestine to </w:t>
      </w:r>
      <w:r w:rsidR="00A860BC" w:rsidRPr="0059317C">
        <w:rPr>
          <w:rFonts w:eastAsiaTheme="minorEastAsia"/>
          <w:szCs w:val="20"/>
          <w:lang w:val="de-DE"/>
        </w:rPr>
        <w:t>Tell el-</w:t>
      </w:r>
      <w:r w:rsidRPr="0059317C">
        <w:rPr>
          <w:rFonts w:eastAsiaTheme="minorEastAsia"/>
          <w:szCs w:val="20"/>
          <w:lang w:val="en-US"/>
        </w:rPr>
        <w:t xml:space="preserve">Dab`a, further corroborated by the two follow-up tests, </w:t>
      </w:r>
      <w:r w:rsidR="00A04A64">
        <w:rPr>
          <w:rFonts w:eastAsiaTheme="minorEastAsia"/>
          <w:szCs w:val="20"/>
          <w:lang w:val="en-US"/>
        </w:rPr>
        <w:t>I</w:t>
      </w:r>
      <w:r w:rsidR="00A04A64" w:rsidRPr="0059317C">
        <w:rPr>
          <w:rFonts w:eastAsiaTheme="minorEastAsia"/>
          <w:szCs w:val="20"/>
          <w:lang w:val="en-US"/>
        </w:rPr>
        <w:t xml:space="preserve"> </w:t>
      </w:r>
      <w:r w:rsidRPr="0059317C">
        <w:rPr>
          <w:rFonts w:eastAsiaTheme="minorEastAsia"/>
          <w:szCs w:val="20"/>
          <w:lang w:val="en-US"/>
        </w:rPr>
        <w:t xml:space="preserve">concluded that Southern Palestine had indeed been a major trading partner with </w:t>
      </w:r>
      <w:r w:rsidR="00A860BC" w:rsidRPr="0059317C">
        <w:rPr>
          <w:rFonts w:eastAsiaTheme="minorEastAsia"/>
          <w:szCs w:val="20"/>
          <w:lang w:val="de-DE"/>
        </w:rPr>
        <w:t>Tell el-</w:t>
      </w:r>
      <w:r w:rsidRPr="0059317C">
        <w:rPr>
          <w:rFonts w:eastAsiaTheme="minorEastAsia"/>
          <w:szCs w:val="20"/>
          <w:lang w:val="en-US"/>
        </w:rPr>
        <w:t xml:space="preserve">Dab`a, beginning by at least later MB IIA and intensifying in MB IIB and MB IIC. </w:t>
      </w:r>
      <w:bookmarkStart w:id="6" w:name="_Hlk536009895"/>
      <w:r w:rsidRPr="0059317C">
        <w:rPr>
          <w:rFonts w:eastAsiaTheme="minorEastAsia"/>
          <w:szCs w:val="20"/>
          <w:lang w:val="en-US"/>
        </w:rPr>
        <w:t xml:space="preserve"> </w:t>
      </w:r>
    </w:p>
    <w:p w14:paraId="6E49831E" w14:textId="77777777" w:rsidR="00130FA7" w:rsidRPr="0059317C" w:rsidRDefault="00130FA7" w:rsidP="005125F6">
      <w:pPr>
        <w:widowControl w:val="0"/>
        <w:autoSpaceDE w:val="0"/>
        <w:autoSpaceDN w:val="0"/>
        <w:adjustRightInd w:val="0"/>
        <w:spacing w:after="0" w:line="240" w:lineRule="auto"/>
        <w:rPr>
          <w:rFonts w:eastAsiaTheme="minorEastAsia"/>
          <w:szCs w:val="20"/>
          <w:lang w:val="en-US"/>
        </w:rPr>
      </w:pPr>
    </w:p>
    <w:p w14:paraId="153809AA" w14:textId="50081AF8" w:rsidR="005125F6" w:rsidRPr="0059317C" w:rsidRDefault="005125F6" w:rsidP="005125F6">
      <w:pPr>
        <w:widowControl w:val="0"/>
        <w:autoSpaceDE w:val="0"/>
        <w:autoSpaceDN w:val="0"/>
        <w:adjustRightInd w:val="0"/>
        <w:spacing w:after="0" w:line="240" w:lineRule="auto"/>
        <w:rPr>
          <w:rFonts w:eastAsiaTheme="minorEastAsia"/>
          <w:szCs w:val="20"/>
          <w:lang w:val="en-US"/>
        </w:rPr>
      </w:pPr>
      <w:r w:rsidRPr="0059317C">
        <w:rPr>
          <w:rFonts w:eastAsiaTheme="minorEastAsia"/>
          <w:szCs w:val="20"/>
          <w:lang w:val="en-US"/>
        </w:rPr>
        <w:t>Only in earlie</w:t>
      </w:r>
      <w:r w:rsidR="000F19BA">
        <w:rPr>
          <w:rFonts w:eastAsiaTheme="minorEastAsia"/>
          <w:szCs w:val="20"/>
          <w:lang w:val="en-US"/>
        </w:rPr>
        <w:t>r</w:t>
      </w:r>
      <w:r w:rsidRPr="0059317C">
        <w:rPr>
          <w:rFonts w:eastAsiaTheme="minorEastAsia"/>
          <w:szCs w:val="20"/>
          <w:lang w:val="en-US"/>
        </w:rPr>
        <w:t xml:space="preserve"> phases of MB IIA, which were poorly represented for both</w:t>
      </w:r>
      <w:bookmarkEnd w:id="6"/>
      <w:r w:rsidRPr="0059317C">
        <w:rPr>
          <w:rFonts w:eastAsiaTheme="minorEastAsia"/>
          <w:szCs w:val="20"/>
          <w:lang w:val="en-US"/>
        </w:rPr>
        <w:t xml:space="preserve"> Ashkelon and </w:t>
      </w:r>
      <w:r w:rsidR="00A860BC" w:rsidRPr="0059317C">
        <w:rPr>
          <w:rFonts w:eastAsiaTheme="minorEastAsia"/>
          <w:szCs w:val="20"/>
          <w:lang w:val="de-DE"/>
        </w:rPr>
        <w:t>Tell el-</w:t>
      </w:r>
      <w:r w:rsidRPr="0059317C">
        <w:rPr>
          <w:rFonts w:eastAsiaTheme="minorEastAsia"/>
          <w:szCs w:val="20"/>
          <w:lang w:val="en-US"/>
        </w:rPr>
        <w:t xml:space="preserve">Dab`a in the NAA datasets, were there </w:t>
      </w:r>
      <w:r w:rsidR="00F14A2F">
        <w:rPr>
          <w:rFonts w:eastAsiaTheme="minorEastAsia"/>
          <w:szCs w:val="20"/>
          <w:lang w:val="en-US"/>
        </w:rPr>
        <w:t xml:space="preserve">any </w:t>
      </w:r>
      <w:r w:rsidRPr="0059317C">
        <w:rPr>
          <w:rFonts w:eastAsiaTheme="minorEastAsia"/>
          <w:szCs w:val="20"/>
          <w:lang w:val="en-US"/>
        </w:rPr>
        <w:t>signs of connections with the northern Levant at sites along the coast and inland.</w:t>
      </w:r>
      <w:r w:rsidR="00130FA7" w:rsidRPr="0059317C">
        <w:rPr>
          <w:rFonts w:eastAsiaTheme="minorEastAsia"/>
          <w:szCs w:val="20"/>
          <w:lang w:val="en-US"/>
        </w:rPr>
        <w:t xml:space="preserve"> </w:t>
      </w:r>
      <w:r w:rsidRPr="0059317C">
        <w:rPr>
          <w:rFonts w:eastAsiaTheme="minorEastAsia"/>
          <w:szCs w:val="20"/>
          <w:lang w:val="en-US"/>
        </w:rPr>
        <w:t xml:space="preserve"> </w:t>
      </w:r>
      <w:r w:rsidR="00130FA7" w:rsidRPr="0059317C">
        <w:rPr>
          <w:rFonts w:eastAsiaTheme="minorEastAsia"/>
          <w:szCs w:val="20"/>
          <w:lang w:val="en-US"/>
        </w:rPr>
        <w:t>I stressed this fact in th</w:t>
      </w:r>
      <w:r w:rsidR="00366F2C">
        <w:rPr>
          <w:rFonts w:eastAsiaTheme="minorEastAsia"/>
          <w:szCs w:val="20"/>
          <w:lang w:val="en-US"/>
        </w:rPr>
        <w:t>is</w:t>
      </w:r>
      <w:r w:rsidR="00130FA7" w:rsidRPr="0059317C">
        <w:rPr>
          <w:rFonts w:eastAsiaTheme="minorEastAsia"/>
          <w:szCs w:val="20"/>
          <w:lang w:val="en-US"/>
        </w:rPr>
        <w:t xml:space="preserve"> book (</w:t>
      </w:r>
      <w:r w:rsidR="007961B8" w:rsidRPr="0059317C">
        <w:rPr>
          <w:rFonts w:eastAsiaTheme="minorEastAsia"/>
          <w:szCs w:val="20"/>
          <w:lang w:val="en-US"/>
        </w:rPr>
        <w:t>pp. 35</w:t>
      </w:r>
      <w:r w:rsidR="00646AEC" w:rsidRPr="0059317C">
        <w:rPr>
          <w:rFonts w:eastAsiaTheme="minorEastAsia"/>
          <w:szCs w:val="20"/>
          <w:lang w:val="en-US"/>
        </w:rPr>
        <w:t>, 52</w:t>
      </w:r>
      <w:r w:rsidR="00252ACD" w:rsidRPr="0059317C">
        <w:rPr>
          <w:rFonts w:eastAsiaTheme="minorEastAsia"/>
          <w:szCs w:val="20"/>
          <w:lang w:val="en-US"/>
        </w:rPr>
        <w:t>,</w:t>
      </w:r>
      <w:r w:rsidR="002529FD" w:rsidRPr="0059317C">
        <w:rPr>
          <w:rFonts w:eastAsiaTheme="minorEastAsia"/>
          <w:szCs w:val="20"/>
          <w:lang w:val="en-US"/>
        </w:rPr>
        <w:t xml:space="preserve"> and 70)</w:t>
      </w:r>
      <w:r w:rsidR="0026589F" w:rsidRPr="0059317C">
        <w:rPr>
          <w:rFonts w:eastAsiaTheme="minorEastAsia"/>
          <w:szCs w:val="20"/>
          <w:lang w:val="en-US"/>
        </w:rPr>
        <w:t xml:space="preserve">.  </w:t>
      </w:r>
      <w:r w:rsidRPr="0059317C">
        <w:rPr>
          <w:rFonts w:eastAsiaTheme="minorEastAsia"/>
          <w:szCs w:val="20"/>
          <w:lang w:val="en-US"/>
        </w:rPr>
        <w:t xml:space="preserve">Of course, more NAA analyses of earlier MB IIA pottery, now available from more recent excavations at </w:t>
      </w:r>
      <w:r w:rsidR="00A860BC" w:rsidRPr="0059317C">
        <w:rPr>
          <w:rFonts w:eastAsiaTheme="minorEastAsia"/>
          <w:szCs w:val="20"/>
          <w:lang w:val="de-DE"/>
        </w:rPr>
        <w:t>Tell el-</w:t>
      </w:r>
      <w:r w:rsidRPr="0059317C">
        <w:rPr>
          <w:rFonts w:eastAsiaTheme="minorEastAsia"/>
          <w:szCs w:val="20"/>
          <w:lang w:val="en-US"/>
        </w:rPr>
        <w:t>Dab`a, Ashkelon, and elsewhere, might show that the northern Levantine connection was stronger then, but the picture for later MB IIA down to</w:t>
      </w:r>
      <w:r w:rsidR="0070417B" w:rsidRPr="0059317C">
        <w:rPr>
          <w:rFonts w:eastAsiaTheme="minorEastAsia"/>
          <w:szCs w:val="20"/>
          <w:lang w:val="en-US"/>
        </w:rPr>
        <w:t xml:space="preserve"> the</w:t>
      </w:r>
      <w:r w:rsidRPr="0059317C">
        <w:rPr>
          <w:rFonts w:eastAsiaTheme="minorEastAsia"/>
          <w:szCs w:val="20"/>
          <w:lang w:val="en-US"/>
        </w:rPr>
        <w:t xml:space="preserve"> end of the MBA was incontrovertible</w:t>
      </w:r>
      <w:r w:rsidR="000F19BA">
        <w:rPr>
          <w:rFonts w:eastAsiaTheme="minorEastAsia"/>
          <w:szCs w:val="20"/>
          <w:lang w:val="en-US"/>
        </w:rPr>
        <w:t>, according to the NAA results</w:t>
      </w:r>
      <w:r w:rsidRPr="0059317C">
        <w:rPr>
          <w:rFonts w:eastAsiaTheme="minorEastAsia"/>
          <w:szCs w:val="20"/>
          <w:lang w:val="en-US"/>
        </w:rPr>
        <w:t>.</w:t>
      </w:r>
    </w:p>
    <w:p w14:paraId="21D78AAA" w14:textId="77777777" w:rsidR="005125F6" w:rsidRPr="0059317C" w:rsidRDefault="005125F6" w:rsidP="005125F6">
      <w:pPr>
        <w:widowControl w:val="0"/>
        <w:autoSpaceDE w:val="0"/>
        <w:autoSpaceDN w:val="0"/>
        <w:adjustRightInd w:val="0"/>
        <w:spacing w:after="0" w:line="240" w:lineRule="auto"/>
        <w:rPr>
          <w:rFonts w:eastAsiaTheme="minorEastAsia"/>
          <w:szCs w:val="20"/>
          <w:lang w:val="en-US"/>
        </w:rPr>
      </w:pPr>
    </w:p>
    <w:p w14:paraId="64EF4F4E" w14:textId="59F52B11" w:rsidR="005125F6" w:rsidRPr="0059317C" w:rsidRDefault="00AD335C" w:rsidP="005125F6">
      <w:pPr>
        <w:widowControl w:val="0"/>
        <w:autoSpaceDE w:val="0"/>
        <w:autoSpaceDN w:val="0"/>
        <w:adjustRightInd w:val="0"/>
        <w:spacing w:after="0" w:line="240" w:lineRule="auto"/>
        <w:rPr>
          <w:rFonts w:eastAsiaTheme="minorEastAsia"/>
          <w:szCs w:val="20"/>
          <w:lang w:val="en-US"/>
        </w:rPr>
      </w:pPr>
      <w:bookmarkStart w:id="7" w:name="_Hlk4384307"/>
      <w:r>
        <w:rPr>
          <w:rFonts w:eastAsiaTheme="minorEastAsia"/>
          <w:szCs w:val="20"/>
          <w:lang w:val="en-US"/>
        </w:rPr>
        <w:t>In short,</w:t>
      </w:r>
      <w:r w:rsidR="005125F6" w:rsidRPr="0059317C">
        <w:rPr>
          <w:rFonts w:eastAsiaTheme="minorEastAsia"/>
          <w:szCs w:val="20"/>
          <w:lang w:val="en-US"/>
        </w:rPr>
        <w:t xml:space="preserve"> my commonsense working hypothesis of the Hyksos being of Southern Palestine origin </w:t>
      </w:r>
      <w:r w:rsidR="001407B3">
        <w:rPr>
          <w:rFonts w:eastAsiaTheme="minorEastAsia"/>
          <w:szCs w:val="20"/>
          <w:lang w:val="en-US"/>
        </w:rPr>
        <w:t>appeared to be</w:t>
      </w:r>
      <w:r w:rsidR="001407B3" w:rsidRPr="0059317C">
        <w:rPr>
          <w:rFonts w:eastAsiaTheme="minorEastAsia"/>
          <w:szCs w:val="20"/>
          <w:lang w:val="en-US"/>
        </w:rPr>
        <w:t xml:space="preserve"> </w:t>
      </w:r>
      <w:r w:rsidR="005125F6" w:rsidRPr="0059317C">
        <w:rPr>
          <w:rFonts w:eastAsiaTheme="minorEastAsia"/>
          <w:szCs w:val="20"/>
          <w:lang w:val="en-US"/>
        </w:rPr>
        <w:t xml:space="preserve">the most likely possibility.  This hypothesis was further </w:t>
      </w:r>
      <w:r w:rsidR="001407B3">
        <w:rPr>
          <w:rFonts w:eastAsiaTheme="minorEastAsia"/>
          <w:szCs w:val="20"/>
          <w:lang w:val="en-US"/>
        </w:rPr>
        <w:t>bolster</w:t>
      </w:r>
      <w:r w:rsidR="0010090A">
        <w:rPr>
          <w:rFonts w:eastAsiaTheme="minorEastAsia"/>
          <w:szCs w:val="20"/>
          <w:lang w:val="en-US"/>
        </w:rPr>
        <w:t>ed</w:t>
      </w:r>
      <w:r w:rsidR="0010090A" w:rsidRPr="0059317C">
        <w:rPr>
          <w:rFonts w:eastAsiaTheme="minorEastAsia"/>
          <w:szCs w:val="20"/>
          <w:lang w:val="en-US"/>
        </w:rPr>
        <w:t xml:space="preserve"> </w:t>
      </w:r>
      <w:r w:rsidR="005125F6" w:rsidRPr="0059317C">
        <w:rPr>
          <w:rFonts w:eastAsiaTheme="minorEastAsia"/>
          <w:szCs w:val="20"/>
          <w:lang w:val="en-US"/>
        </w:rPr>
        <w:t xml:space="preserve">by other cultural affiliations between </w:t>
      </w:r>
      <w:r w:rsidR="00A860BC" w:rsidRPr="0059317C">
        <w:rPr>
          <w:rFonts w:eastAsiaTheme="minorEastAsia"/>
          <w:szCs w:val="20"/>
          <w:lang w:val="de-DE"/>
        </w:rPr>
        <w:t>Tell el-</w:t>
      </w:r>
      <w:r w:rsidR="005125F6" w:rsidRPr="0059317C">
        <w:rPr>
          <w:rFonts w:eastAsiaTheme="minorEastAsia"/>
          <w:szCs w:val="20"/>
          <w:lang w:val="en-US"/>
        </w:rPr>
        <w:t xml:space="preserve">Dab`a and Southern Palestine, including handmade cooking pots reflecting a traditional Syro-Palestinian cuisine, mudbrick vaulted tombs with equid interment and nearly indistinguishable burial assemblages in the two regions, etc. (see “Possible Ethnic Origins,” pp. 80-82).  </w:t>
      </w:r>
    </w:p>
    <w:p w14:paraId="4BC26257" w14:textId="77777777" w:rsidR="005125F6" w:rsidRPr="0059317C" w:rsidRDefault="005125F6" w:rsidP="005125F6">
      <w:pPr>
        <w:widowControl w:val="0"/>
        <w:autoSpaceDE w:val="0"/>
        <w:autoSpaceDN w:val="0"/>
        <w:adjustRightInd w:val="0"/>
        <w:spacing w:after="0" w:line="240" w:lineRule="auto"/>
        <w:rPr>
          <w:rFonts w:eastAsiaTheme="minorEastAsia"/>
          <w:szCs w:val="20"/>
          <w:lang w:val="en-US"/>
        </w:rPr>
      </w:pPr>
    </w:p>
    <w:p w14:paraId="7B4378DF" w14:textId="77777777" w:rsidR="00986937" w:rsidRPr="00986937" w:rsidRDefault="00986937" w:rsidP="00986937">
      <w:pPr>
        <w:widowControl w:val="0"/>
        <w:autoSpaceDE w:val="0"/>
        <w:autoSpaceDN w:val="0"/>
        <w:adjustRightInd w:val="0"/>
        <w:spacing w:after="0" w:line="240" w:lineRule="auto"/>
        <w:rPr>
          <w:rFonts w:eastAsiaTheme="minorEastAsia"/>
          <w:b/>
          <w:szCs w:val="24"/>
          <w:lang w:val="en-US"/>
        </w:rPr>
      </w:pPr>
      <w:r w:rsidRPr="00986937">
        <w:rPr>
          <w:rFonts w:eastAsiaTheme="minorEastAsia"/>
          <w:b/>
          <w:szCs w:val="24"/>
          <w:lang w:val="en-US"/>
        </w:rPr>
        <w:t>A Two-St</w:t>
      </w:r>
      <w:r>
        <w:rPr>
          <w:rFonts w:eastAsiaTheme="minorEastAsia"/>
          <w:b/>
          <w:szCs w:val="24"/>
          <w:lang w:val="en-US"/>
        </w:rPr>
        <w:t>age</w:t>
      </w:r>
      <w:r w:rsidRPr="00986937">
        <w:rPr>
          <w:rFonts w:eastAsiaTheme="minorEastAsia"/>
          <w:b/>
          <w:szCs w:val="24"/>
          <w:lang w:val="en-US"/>
        </w:rPr>
        <w:t xml:space="preserve"> Process?</w:t>
      </w:r>
    </w:p>
    <w:p w14:paraId="6680F7F9" w14:textId="77777777" w:rsidR="00986937" w:rsidRDefault="00986937" w:rsidP="005125F6">
      <w:pPr>
        <w:widowControl w:val="0"/>
        <w:autoSpaceDE w:val="0"/>
        <w:autoSpaceDN w:val="0"/>
        <w:adjustRightInd w:val="0"/>
        <w:spacing w:after="0" w:line="240" w:lineRule="auto"/>
        <w:rPr>
          <w:rFonts w:eastAsiaTheme="minorEastAsia"/>
          <w:szCs w:val="20"/>
          <w:lang w:val="en-US"/>
        </w:rPr>
      </w:pPr>
    </w:p>
    <w:p w14:paraId="7CB5FA1F" w14:textId="2D821F51" w:rsidR="005125F6" w:rsidRPr="007E1F4F" w:rsidRDefault="005125F6" w:rsidP="005125F6">
      <w:pPr>
        <w:widowControl w:val="0"/>
        <w:autoSpaceDE w:val="0"/>
        <w:autoSpaceDN w:val="0"/>
        <w:adjustRightInd w:val="0"/>
        <w:spacing w:after="0" w:line="240" w:lineRule="auto"/>
        <w:rPr>
          <w:rFonts w:eastAsiaTheme="minorEastAsia"/>
          <w:szCs w:val="20"/>
          <w:lang w:val="en-US"/>
        </w:rPr>
      </w:pPr>
      <w:r w:rsidRPr="0059317C">
        <w:rPr>
          <w:rFonts w:eastAsiaTheme="minorEastAsia"/>
          <w:szCs w:val="20"/>
          <w:lang w:val="en-US"/>
        </w:rPr>
        <w:lastRenderedPageBreak/>
        <w:t>Our evidence was also consistent with a two-st</w:t>
      </w:r>
      <w:r w:rsidR="00986937">
        <w:rPr>
          <w:rFonts w:eastAsiaTheme="minorEastAsia"/>
          <w:szCs w:val="20"/>
          <w:lang w:val="en-US"/>
        </w:rPr>
        <w:t>age</w:t>
      </w:r>
      <w:r w:rsidRPr="0059317C">
        <w:rPr>
          <w:rFonts w:eastAsiaTheme="minorEastAsia"/>
          <w:szCs w:val="20"/>
          <w:lang w:val="en-US"/>
        </w:rPr>
        <w:t xml:space="preserve"> process of population movement over the course of the MBA (for what follows, see Chapter 6</w:t>
      </w:r>
      <w:r w:rsidR="00EE41C2" w:rsidRPr="0059317C">
        <w:rPr>
          <w:rFonts w:eastAsiaTheme="minorEastAsia"/>
          <w:szCs w:val="20"/>
          <w:lang w:val="en-US"/>
        </w:rPr>
        <w:t xml:space="preserve"> and, especially, the general overview provided in my </w:t>
      </w:r>
      <w:r w:rsidR="00EE41C2" w:rsidRPr="0059317C">
        <w:rPr>
          <w:rFonts w:eastAsiaTheme="minorEastAsia"/>
          <w:i/>
          <w:szCs w:val="20"/>
          <w:lang w:val="en-US"/>
        </w:rPr>
        <w:t>Ancient Wine</w:t>
      </w:r>
      <w:r w:rsidR="00EE41C2" w:rsidRPr="0059317C">
        <w:rPr>
          <w:rFonts w:eastAsiaTheme="minorEastAsia"/>
          <w:szCs w:val="20"/>
          <w:lang w:val="en-US"/>
        </w:rPr>
        <w:t xml:space="preserve"> book</w:t>
      </w:r>
      <w:bookmarkStart w:id="8" w:name="_Ref7065234"/>
      <w:r w:rsidR="00EE41C2" w:rsidRPr="0059317C">
        <w:rPr>
          <w:rStyle w:val="FootnoteReference"/>
          <w:rFonts w:eastAsiaTheme="minorEastAsia"/>
          <w:szCs w:val="20"/>
          <w:lang w:val="en-US"/>
        </w:rPr>
        <w:footnoteReference w:id="5"/>
      </w:r>
      <w:bookmarkEnd w:id="8"/>
      <w:r w:rsidR="00EE41C2" w:rsidRPr="0059317C">
        <w:rPr>
          <w:rFonts w:eastAsiaTheme="minorEastAsia"/>
          <w:szCs w:val="20"/>
          <w:lang w:val="en-US"/>
        </w:rPr>
        <w:t>)</w:t>
      </w:r>
      <w:r w:rsidRPr="0059317C">
        <w:rPr>
          <w:rFonts w:eastAsiaTheme="minorEastAsia"/>
          <w:szCs w:val="20"/>
          <w:lang w:val="en-US"/>
        </w:rPr>
        <w:t xml:space="preserve">.  Such a scenario was also appreciated by Bietak when he learned of the NAA results showing strong ties between Southern Palestine and </w:t>
      </w:r>
      <w:r w:rsidR="00A860BC" w:rsidRPr="0059317C">
        <w:rPr>
          <w:rFonts w:eastAsiaTheme="minorEastAsia"/>
          <w:szCs w:val="20"/>
          <w:lang w:val="de-DE"/>
        </w:rPr>
        <w:t>Tell el-</w:t>
      </w:r>
      <w:r w:rsidRPr="0059317C">
        <w:rPr>
          <w:rFonts w:eastAsiaTheme="minorEastAsia"/>
          <w:szCs w:val="20"/>
          <w:lang w:val="en-US"/>
        </w:rPr>
        <w:t>Dab`a.</w:t>
      </w:r>
      <w:r w:rsidR="00304D9F" w:rsidRPr="0059317C">
        <w:rPr>
          <w:rStyle w:val="FootnoteReference"/>
          <w:rFonts w:eastAsiaTheme="minorEastAsia"/>
          <w:szCs w:val="20"/>
          <w:lang w:val="en-US"/>
        </w:rPr>
        <w:footnoteReference w:id="6"/>
      </w:r>
      <w:r w:rsidR="00256AC2" w:rsidRPr="0059317C">
        <w:rPr>
          <w:rFonts w:eastAsiaTheme="minorEastAsia"/>
          <w:szCs w:val="20"/>
          <w:lang w:val="en-US"/>
        </w:rPr>
        <w:t xml:space="preserve">  Imported and locally made MBA scarabs</w:t>
      </w:r>
      <w:r w:rsidR="00961B26" w:rsidRPr="0059317C">
        <w:rPr>
          <w:rFonts w:eastAsiaTheme="minorEastAsia"/>
          <w:szCs w:val="20"/>
          <w:lang w:val="en-US"/>
        </w:rPr>
        <w:t xml:space="preserve"> </w:t>
      </w:r>
      <w:r w:rsidR="00CB118C" w:rsidRPr="0059317C">
        <w:rPr>
          <w:rFonts w:eastAsiaTheme="minorEastAsia"/>
          <w:szCs w:val="20"/>
          <w:lang w:val="en-US"/>
        </w:rPr>
        <w:t>and sealings</w:t>
      </w:r>
      <w:r w:rsidR="00256AC2" w:rsidRPr="0059317C">
        <w:rPr>
          <w:rFonts w:eastAsiaTheme="minorEastAsia"/>
          <w:szCs w:val="20"/>
          <w:lang w:val="en-US"/>
        </w:rPr>
        <w:t xml:space="preserve"> in the northern Levant versus those found in Southern Palestine provided strong supporting evidence</w:t>
      </w:r>
      <w:r w:rsidR="005E61DB" w:rsidRPr="0059317C">
        <w:rPr>
          <w:rFonts w:eastAsiaTheme="minorEastAsia"/>
          <w:szCs w:val="20"/>
          <w:lang w:val="en-US"/>
        </w:rPr>
        <w:t xml:space="preserve"> </w:t>
      </w:r>
      <w:r w:rsidR="00BE2C3C" w:rsidRPr="0059317C">
        <w:rPr>
          <w:rFonts w:eastAsiaTheme="minorEastAsia"/>
          <w:szCs w:val="20"/>
          <w:lang w:val="en-US"/>
        </w:rPr>
        <w:t>(also see below)</w:t>
      </w:r>
      <w:r w:rsidR="00256AC2" w:rsidRPr="0059317C">
        <w:rPr>
          <w:rFonts w:eastAsiaTheme="minorEastAsia"/>
          <w:szCs w:val="20"/>
          <w:lang w:val="en-US"/>
        </w:rPr>
        <w:t>.</w:t>
      </w:r>
      <w:bookmarkStart w:id="11" w:name="_Ref5341180"/>
      <w:r w:rsidR="00256AC2" w:rsidRPr="0059317C">
        <w:rPr>
          <w:rStyle w:val="FootnoteReference"/>
          <w:rFonts w:eastAsiaTheme="minorEastAsia"/>
          <w:szCs w:val="20"/>
          <w:lang w:val="en-US"/>
        </w:rPr>
        <w:footnoteReference w:id="7"/>
      </w:r>
      <w:bookmarkEnd w:id="7"/>
      <w:bookmarkEnd w:id="11"/>
    </w:p>
    <w:p w14:paraId="6C498254" w14:textId="77777777" w:rsidR="005E61DB" w:rsidRPr="0059317C" w:rsidRDefault="005E61DB" w:rsidP="005125F6">
      <w:pPr>
        <w:widowControl w:val="0"/>
        <w:autoSpaceDE w:val="0"/>
        <w:autoSpaceDN w:val="0"/>
        <w:adjustRightInd w:val="0"/>
        <w:spacing w:after="0" w:line="240" w:lineRule="auto"/>
        <w:rPr>
          <w:rFonts w:eastAsiaTheme="minorEastAsia"/>
          <w:szCs w:val="20"/>
          <w:lang w:val="en-US"/>
        </w:rPr>
      </w:pPr>
    </w:p>
    <w:p w14:paraId="5B19AF26" w14:textId="7AD84423" w:rsidR="005125F6" w:rsidRPr="0059317C" w:rsidRDefault="005125F6" w:rsidP="005125F6">
      <w:pPr>
        <w:widowControl w:val="0"/>
        <w:autoSpaceDE w:val="0"/>
        <w:autoSpaceDN w:val="0"/>
        <w:adjustRightInd w:val="0"/>
        <w:spacing w:after="0" w:line="240" w:lineRule="auto"/>
        <w:rPr>
          <w:rFonts w:eastAsiaTheme="minorEastAsia"/>
          <w:szCs w:val="20"/>
          <w:lang w:val="en-US"/>
        </w:rPr>
      </w:pPr>
      <w:r w:rsidRPr="0059317C">
        <w:rPr>
          <w:rFonts w:eastAsiaTheme="minorEastAsia"/>
          <w:szCs w:val="20"/>
          <w:lang w:val="en-US"/>
        </w:rPr>
        <w:t>In the first stage during late EB IV (First Intermediate Period of Egypt) and into early MB IIA, people from the northern Levant probably began to move into the southern Levant, which was populated mainly by pastoral</w:t>
      </w:r>
      <w:r w:rsidR="00050FD1" w:rsidRPr="0059317C">
        <w:rPr>
          <w:rFonts w:eastAsiaTheme="minorEastAsia"/>
          <w:szCs w:val="20"/>
          <w:lang w:val="en-US"/>
        </w:rPr>
        <w:t>is</w:t>
      </w:r>
      <w:r w:rsidRPr="0059317C">
        <w:rPr>
          <w:rFonts w:eastAsiaTheme="minorEastAsia"/>
          <w:szCs w:val="20"/>
          <w:lang w:val="en-US"/>
        </w:rPr>
        <w:t xml:space="preserve">ts </w:t>
      </w:r>
      <w:r w:rsidR="00573263" w:rsidRPr="0059317C">
        <w:rPr>
          <w:rFonts w:eastAsiaTheme="minorEastAsia"/>
          <w:szCs w:val="20"/>
          <w:lang w:val="en-US"/>
        </w:rPr>
        <w:t>and</w:t>
      </w:r>
      <w:r w:rsidRPr="0059317C">
        <w:rPr>
          <w:rFonts w:eastAsiaTheme="minorEastAsia"/>
          <w:szCs w:val="20"/>
          <w:lang w:val="en-US"/>
        </w:rPr>
        <w:t xml:space="preserve"> small </w:t>
      </w:r>
      <w:r w:rsidR="00573263" w:rsidRPr="0059317C">
        <w:rPr>
          <w:rFonts w:eastAsiaTheme="minorEastAsia"/>
          <w:szCs w:val="20"/>
          <w:lang w:val="en-US"/>
        </w:rPr>
        <w:t>villages</w:t>
      </w:r>
      <w:r w:rsidRPr="0059317C">
        <w:rPr>
          <w:rFonts w:eastAsiaTheme="minorEastAsia"/>
          <w:szCs w:val="20"/>
          <w:lang w:val="en-US"/>
        </w:rPr>
        <w:t>.  The</w:t>
      </w:r>
      <w:r w:rsidR="00970C8E" w:rsidRPr="0059317C">
        <w:rPr>
          <w:rFonts w:eastAsiaTheme="minorEastAsia"/>
          <w:szCs w:val="20"/>
          <w:lang w:val="en-US"/>
        </w:rPr>
        <w:t xml:space="preserve"> northerners</w:t>
      </w:r>
      <w:r w:rsidRPr="0059317C">
        <w:rPr>
          <w:rFonts w:eastAsiaTheme="minorEastAsia"/>
          <w:szCs w:val="20"/>
          <w:lang w:val="en-US"/>
        </w:rPr>
        <w:t xml:space="preserve"> would have brought with them their traditions of architecture, equid burials, pottery styles and technology (e.g., the fast-wheel for throwing the distinctive MB pottery types including Canaanite Jars, highly polished jugs and juglets, and painted vessels in the </w:t>
      </w:r>
      <w:r w:rsidR="008970FB">
        <w:rPr>
          <w:rFonts w:eastAsiaTheme="minorEastAsia"/>
          <w:szCs w:val="20"/>
          <w:lang w:val="en-US"/>
        </w:rPr>
        <w:t>LPW</w:t>
      </w:r>
      <w:r w:rsidRPr="0059317C">
        <w:rPr>
          <w:rFonts w:eastAsiaTheme="minorEastAsia"/>
          <w:szCs w:val="20"/>
          <w:lang w:val="en-US"/>
        </w:rPr>
        <w:t xml:space="preserve"> tradition, etc.).  The northerners built fortified sites throughout Palestine and likely integrated the local non-urban people into their socio-political system.  They especially consolidated their power in the south, in the Gaza region, which was closest to Egypt.  </w:t>
      </w:r>
    </w:p>
    <w:p w14:paraId="03612E88" w14:textId="77777777" w:rsidR="005125F6" w:rsidRPr="0059317C" w:rsidRDefault="005125F6" w:rsidP="005125F6">
      <w:pPr>
        <w:widowControl w:val="0"/>
        <w:autoSpaceDE w:val="0"/>
        <w:autoSpaceDN w:val="0"/>
        <w:adjustRightInd w:val="0"/>
        <w:spacing w:after="0" w:line="240" w:lineRule="auto"/>
        <w:rPr>
          <w:rFonts w:eastAsiaTheme="minorEastAsia"/>
          <w:szCs w:val="20"/>
          <w:lang w:val="en-US"/>
        </w:rPr>
      </w:pPr>
    </w:p>
    <w:p w14:paraId="1F702ADC" w14:textId="49755DE8" w:rsidR="003C3269" w:rsidRDefault="005125F6" w:rsidP="005125F6">
      <w:pPr>
        <w:widowControl w:val="0"/>
        <w:autoSpaceDE w:val="0"/>
        <w:autoSpaceDN w:val="0"/>
        <w:adjustRightInd w:val="0"/>
        <w:spacing w:after="0" w:line="240" w:lineRule="auto"/>
        <w:rPr>
          <w:rFonts w:eastAsiaTheme="minorEastAsia"/>
          <w:szCs w:val="20"/>
          <w:lang w:val="en-US"/>
        </w:rPr>
      </w:pPr>
      <w:r w:rsidRPr="0059317C">
        <w:rPr>
          <w:rFonts w:eastAsiaTheme="minorEastAsia"/>
          <w:szCs w:val="20"/>
          <w:lang w:val="en-US"/>
        </w:rPr>
        <w:t xml:space="preserve">With an ever-growing population in the Gaza region and ever-increasing trade </w:t>
      </w:r>
      <w:r w:rsidR="00E4251A" w:rsidRPr="0059317C">
        <w:rPr>
          <w:rFonts w:eastAsiaTheme="minorEastAsia"/>
          <w:szCs w:val="20"/>
          <w:lang w:val="en-US"/>
        </w:rPr>
        <w:t xml:space="preserve">between </w:t>
      </w:r>
      <w:r w:rsidR="00DE6078" w:rsidRPr="0059317C">
        <w:rPr>
          <w:rFonts w:eastAsiaTheme="minorEastAsia"/>
          <w:szCs w:val="20"/>
          <w:lang w:val="en-US"/>
        </w:rPr>
        <w:t>the latter</w:t>
      </w:r>
      <w:r w:rsidR="00E4251A" w:rsidRPr="0059317C">
        <w:rPr>
          <w:rFonts w:eastAsiaTheme="minorEastAsia"/>
          <w:szCs w:val="20"/>
          <w:lang w:val="en-US"/>
        </w:rPr>
        <w:t xml:space="preserve"> and</w:t>
      </w:r>
      <w:r w:rsidRPr="0059317C">
        <w:rPr>
          <w:rFonts w:eastAsiaTheme="minorEastAsia"/>
          <w:szCs w:val="20"/>
          <w:lang w:val="en-US"/>
        </w:rPr>
        <w:t xml:space="preserve"> </w:t>
      </w:r>
      <w:r w:rsidR="00A860BC" w:rsidRPr="0059317C">
        <w:rPr>
          <w:rFonts w:eastAsiaTheme="minorEastAsia"/>
          <w:szCs w:val="20"/>
          <w:lang w:val="de-DE"/>
        </w:rPr>
        <w:t>Tell el-</w:t>
      </w:r>
      <w:r w:rsidRPr="0059317C">
        <w:rPr>
          <w:rFonts w:eastAsiaTheme="minorEastAsia"/>
          <w:szCs w:val="20"/>
          <w:lang w:val="en-US"/>
        </w:rPr>
        <w:t xml:space="preserve">Dab`a during later MB IIA and into MB IIB, the stage </w:t>
      </w:r>
      <w:r w:rsidRPr="0059317C">
        <w:rPr>
          <w:rFonts w:eastAsiaTheme="minorEastAsia"/>
          <w:szCs w:val="20"/>
          <w:lang w:val="en-US"/>
        </w:rPr>
        <w:lastRenderedPageBreak/>
        <w:t>was set for the second stage of the process.  Egypt had gradually descended into political instability, even chaos,</w:t>
      </w:r>
      <w:r w:rsidR="00707858">
        <w:rPr>
          <w:rFonts w:eastAsiaTheme="minorEastAsia"/>
          <w:szCs w:val="20"/>
          <w:lang w:val="en-US"/>
        </w:rPr>
        <w:t xml:space="preserve"> </w:t>
      </w:r>
      <w:r w:rsidR="00CE28E6">
        <w:rPr>
          <w:rFonts w:eastAsiaTheme="minorEastAsia"/>
          <w:szCs w:val="20"/>
          <w:lang w:val="en-US"/>
        </w:rPr>
        <w:t>at the end of Middle Kingdom and continuing into</w:t>
      </w:r>
      <w:r w:rsidRPr="0059317C">
        <w:rPr>
          <w:rFonts w:eastAsiaTheme="minorEastAsia"/>
          <w:szCs w:val="20"/>
          <w:lang w:val="en-US"/>
        </w:rPr>
        <w:t xml:space="preserve"> the Second Intermediate Period, following the collapse of the powerful 12</w:t>
      </w:r>
      <w:r w:rsidRPr="0059317C">
        <w:rPr>
          <w:rFonts w:eastAsiaTheme="minorEastAsia"/>
          <w:szCs w:val="20"/>
          <w:vertAlign w:val="superscript"/>
          <w:lang w:val="en-US"/>
        </w:rPr>
        <w:t>th</w:t>
      </w:r>
      <w:r w:rsidRPr="0059317C">
        <w:rPr>
          <w:rFonts w:eastAsiaTheme="minorEastAsia"/>
          <w:szCs w:val="20"/>
          <w:lang w:val="en-US"/>
        </w:rPr>
        <w:t xml:space="preserve"> Dynasty.  The eastern Nile Delta, which beckoned with its rich, well-watered agricultural fields, was a natural “relief valve” for a burgeoning Southern Palestinian population, and it was within relatively easy reach by land or sea.  Other Semitic peoples, who had long lived there </w:t>
      </w:r>
      <w:r w:rsidR="001407B3">
        <w:rPr>
          <w:rFonts w:eastAsiaTheme="minorEastAsia"/>
          <w:szCs w:val="20"/>
          <w:lang w:val="en-US"/>
        </w:rPr>
        <w:t>and</w:t>
      </w:r>
      <w:r w:rsidRPr="0059317C">
        <w:rPr>
          <w:rFonts w:eastAsiaTheme="minorEastAsia"/>
          <w:szCs w:val="20"/>
          <w:lang w:val="en-US"/>
        </w:rPr>
        <w:t xml:space="preserve"> were engaged in trade and various occupations, could help smooth immigration to the new land</w:t>
      </w:r>
      <w:r w:rsidR="003C3269">
        <w:rPr>
          <w:rFonts w:eastAsiaTheme="minorEastAsia"/>
          <w:szCs w:val="20"/>
          <w:lang w:val="en-US"/>
        </w:rPr>
        <w:t>, particularly if they had family</w:t>
      </w:r>
      <w:r w:rsidR="00257835">
        <w:rPr>
          <w:rFonts w:eastAsiaTheme="minorEastAsia"/>
          <w:szCs w:val="20"/>
          <w:lang w:val="en-US"/>
        </w:rPr>
        <w:t xml:space="preserve"> ties.</w:t>
      </w:r>
      <w:r w:rsidR="003C3269">
        <w:rPr>
          <w:rFonts w:eastAsiaTheme="minorEastAsia"/>
          <w:szCs w:val="20"/>
          <w:lang w:val="en-US"/>
        </w:rPr>
        <w:t xml:space="preserve"> </w:t>
      </w:r>
    </w:p>
    <w:p w14:paraId="173C2750" w14:textId="77777777" w:rsidR="003C3269" w:rsidRDefault="003C3269" w:rsidP="005125F6">
      <w:pPr>
        <w:widowControl w:val="0"/>
        <w:autoSpaceDE w:val="0"/>
        <w:autoSpaceDN w:val="0"/>
        <w:adjustRightInd w:val="0"/>
        <w:spacing w:after="0" w:line="240" w:lineRule="auto"/>
        <w:rPr>
          <w:rFonts w:eastAsiaTheme="minorEastAsia"/>
          <w:szCs w:val="20"/>
          <w:lang w:val="en-US"/>
        </w:rPr>
      </w:pPr>
    </w:p>
    <w:p w14:paraId="4242D632" w14:textId="3BD32261" w:rsidR="005125F6" w:rsidRPr="0059317C" w:rsidRDefault="007C4C9E" w:rsidP="005125F6">
      <w:pPr>
        <w:widowControl w:val="0"/>
        <w:autoSpaceDE w:val="0"/>
        <w:autoSpaceDN w:val="0"/>
        <w:adjustRightInd w:val="0"/>
        <w:spacing w:after="0" w:line="240" w:lineRule="auto"/>
        <w:rPr>
          <w:rFonts w:eastAsiaTheme="minorEastAsia"/>
          <w:szCs w:val="20"/>
          <w:lang w:val="en-US"/>
        </w:rPr>
      </w:pPr>
      <w:r>
        <w:rPr>
          <w:rFonts w:eastAsiaTheme="minorEastAsia"/>
          <w:szCs w:val="20"/>
          <w:lang w:val="en-US"/>
        </w:rPr>
        <w:t xml:space="preserve">Tell el-Dab`a was already a trading </w:t>
      </w:r>
      <w:r w:rsidR="0058449E" w:rsidRPr="0058449E">
        <w:rPr>
          <w:rFonts w:eastAsiaTheme="minorEastAsia"/>
          <w:szCs w:val="20"/>
          <w:lang w:val="en-US"/>
        </w:rPr>
        <w:t>entrepôt</w:t>
      </w:r>
      <w:r>
        <w:rPr>
          <w:rFonts w:eastAsiaTheme="minorEastAsia"/>
          <w:szCs w:val="20"/>
          <w:lang w:val="en-US"/>
        </w:rPr>
        <w:t xml:space="preserve"> </w:t>
      </w:r>
      <w:r w:rsidR="0058449E">
        <w:rPr>
          <w:rFonts w:eastAsiaTheme="minorEastAsia"/>
          <w:szCs w:val="20"/>
          <w:lang w:val="en-US"/>
        </w:rPr>
        <w:t xml:space="preserve">during the Middle Kingdom, with especially close ties with Byblos </w:t>
      </w:r>
      <w:r w:rsidR="00257835">
        <w:rPr>
          <w:rFonts w:eastAsiaTheme="minorEastAsia"/>
          <w:szCs w:val="20"/>
          <w:lang w:val="en-US"/>
        </w:rPr>
        <w:t xml:space="preserve">as well as </w:t>
      </w:r>
      <w:r w:rsidR="0058449E">
        <w:rPr>
          <w:rFonts w:eastAsiaTheme="minorEastAsia"/>
          <w:szCs w:val="20"/>
          <w:lang w:val="en-US"/>
        </w:rPr>
        <w:t xml:space="preserve">other city-states along the </w:t>
      </w:r>
      <w:r w:rsidR="00257835">
        <w:rPr>
          <w:rFonts w:eastAsiaTheme="minorEastAsia"/>
          <w:szCs w:val="20"/>
          <w:lang w:val="en-US"/>
        </w:rPr>
        <w:t xml:space="preserve">northern </w:t>
      </w:r>
      <w:r w:rsidR="0058449E">
        <w:rPr>
          <w:rFonts w:eastAsiaTheme="minorEastAsia"/>
          <w:szCs w:val="20"/>
          <w:lang w:val="en-US"/>
        </w:rPr>
        <w:t>Levantine coast (e.g., Sidon)</w:t>
      </w:r>
      <w:r w:rsidR="00257835">
        <w:rPr>
          <w:rFonts w:eastAsiaTheme="minorEastAsia"/>
          <w:szCs w:val="20"/>
          <w:lang w:val="en-US"/>
        </w:rPr>
        <w:t xml:space="preserve">, and those connections probably expanded to encompass </w:t>
      </w:r>
      <w:r w:rsidR="0058449E">
        <w:rPr>
          <w:rFonts w:eastAsiaTheme="minorEastAsia"/>
          <w:szCs w:val="20"/>
          <w:lang w:val="en-US"/>
        </w:rPr>
        <w:t>newly established ports</w:t>
      </w:r>
      <w:r w:rsidR="003C3269">
        <w:rPr>
          <w:rFonts w:eastAsiaTheme="minorEastAsia"/>
          <w:szCs w:val="20"/>
          <w:lang w:val="en-US"/>
        </w:rPr>
        <w:t xml:space="preserve"> farther south (e.g., Tel Ifshar). </w:t>
      </w:r>
      <w:r w:rsidR="0058449E">
        <w:rPr>
          <w:rFonts w:eastAsiaTheme="minorEastAsia"/>
          <w:szCs w:val="20"/>
          <w:lang w:val="en-US"/>
        </w:rPr>
        <w:t xml:space="preserve"> </w:t>
      </w:r>
      <w:r w:rsidR="005125F6" w:rsidRPr="0059317C">
        <w:rPr>
          <w:rFonts w:eastAsiaTheme="minorEastAsia"/>
          <w:szCs w:val="20"/>
          <w:lang w:val="en-US"/>
        </w:rPr>
        <w:t>The “Hyksos” 15</w:t>
      </w:r>
      <w:r w:rsidR="005125F6" w:rsidRPr="0059317C">
        <w:rPr>
          <w:rFonts w:eastAsiaTheme="minorEastAsia"/>
          <w:szCs w:val="20"/>
          <w:vertAlign w:val="superscript"/>
          <w:lang w:val="en-US"/>
        </w:rPr>
        <w:t>th</w:t>
      </w:r>
      <w:r w:rsidR="005125F6" w:rsidRPr="0059317C">
        <w:rPr>
          <w:rFonts w:eastAsiaTheme="minorEastAsia"/>
          <w:szCs w:val="20"/>
          <w:lang w:val="en-US"/>
        </w:rPr>
        <w:t xml:space="preserve"> Dynasty, whose capital was at Avaris (Tell el-Dab`a)</w:t>
      </w:r>
      <w:r w:rsidR="0066131F" w:rsidRPr="0059317C">
        <w:rPr>
          <w:rFonts w:eastAsiaTheme="minorEastAsia"/>
          <w:szCs w:val="20"/>
          <w:lang w:val="en-US"/>
        </w:rPr>
        <w:t>,</w:t>
      </w:r>
      <w:r w:rsidR="005125F6" w:rsidRPr="0059317C">
        <w:rPr>
          <w:rFonts w:eastAsiaTheme="minorEastAsia"/>
          <w:szCs w:val="20"/>
          <w:lang w:val="en-US"/>
        </w:rPr>
        <w:t xml:space="preserve"> was the crowning achievement of this process in MB IIB-IIC (ca. 1700-1550 B.C.</w:t>
      </w:r>
      <w:r w:rsidR="007B49CC" w:rsidRPr="0059317C">
        <w:rPr>
          <w:rStyle w:val="FootnoteReference"/>
          <w:rFonts w:eastAsiaTheme="minorEastAsia"/>
          <w:szCs w:val="20"/>
          <w:lang w:val="en-US"/>
        </w:rPr>
        <w:footnoteReference w:id="8"/>
      </w:r>
      <w:r w:rsidR="005125F6" w:rsidRPr="0059317C">
        <w:rPr>
          <w:rFonts w:eastAsiaTheme="minorEastAsia"/>
          <w:szCs w:val="20"/>
          <w:lang w:val="en-US"/>
        </w:rPr>
        <w:t xml:space="preserve">).  During this period, the </w:t>
      </w:r>
      <w:r w:rsidR="00A860BC" w:rsidRPr="0059317C">
        <w:rPr>
          <w:rFonts w:eastAsiaTheme="minorEastAsia"/>
          <w:szCs w:val="20"/>
          <w:lang w:val="de-DE"/>
        </w:rPr>
        <w:t>Tell el-</w:t>
      </w:r>
      <w:r w:rsidR="005125F6" w:rsidRPr="0059317C">
        <w:rPr>
          <w:rFonts w:eastAsiaTheme="minorEastAsia"/>
          <w:szCs w:val="20"/>
          <w:lang w:val="en-US"/>
        </w:rPr>
        <w:t>Dab`a population exploded, and the site expanded to some 250</w:t>
      </w:r>
      <w:r w:rsidR="00970C8E" w:rsidRPr="0059317C">
        <w:rPr>
          <w:rFonts w:eastAsiaTheme="minorEastAsia"/>
          <w:szCs w:val="20"/>
          <w:lang w:val="en-US"/>
        </w:rPr>
        <w:t xml:space="preserve"> </w:t>
      </w:r>
      <w:r w:rsidR="005125F6" w:rsidRPr="0059317C">
        <w:rPr>
          <w:rFonts w:eastAsiaTheme="minorEastAsia"/>
          <w:szCs w:val="20"/>
          <w:lang w:val="en-US"/>
        </w:rPr>
        <w:t xml:space="preserve">hectares.  </w:t>
      </w:r>
    </w:p>
    <w:p w14:paraId="19201E3F" w14:textId="77777777" w:rsidR="005125F6" w:rsidRPr="0059317C" w:rsidRDefault="005125F6" w:rsidP="005125F6">
      <w:pPr>
        <w:widowControl w:val="0"/>
        <w:autoSpaceDE w:val="0"/>
        <w:autoSpaceDN w:val="0"/>
        <w:adjustRightInd w:val="0"/>
        <w:spacing w:after="0" w:line="240" w:lineRule="auto"/>
        <w:rPr>
          <w:rFonts w:eastAsiaTheme="minorEastAsia"/>
          <w:szCs w:val="20"/>
          <w:lang w:val="en-US"/>
        </w:rPr>
      </w:pPr>
    </w:p>
    <w:p w14:paraId="003527D0" w14:textId="1BA5289E" w:rsidR="004C3422" w:rsidRPr="0059317C" w:rsidRDefault="005125F6" w:rsidP="005125F6">
      <w:pPr>
        <w:widowControl w:val="0"/>
        <w:autoSpaceDE w:val="0"/>
        <w:autoSpaceDN w:val="0"/>
        <w:adjustRightInd w:val="0"/>
        <w:spacing w:after="0" w:line="240" w:lineRule="auto"/>
        <w:rPr>
          <w:rFonts w:eastAsiaTheme="minorEastAsia"/>
          <w:szCs w:val="20"/>
          <w:lang w:val="en-US"/>
        </w:rPr>
      </w:pPr>
      <w:r w:rsidRPr="0059317C">
        <w:rPr>
          <w:rFonts w:eastAsiaTheme="minorEastAsia"/>
          <w:szCs w:val="20"/>
          <w:lang w:val="en-US"/>
        </w:rPr>
        <w:t xml:space="preserve">More excavation of </w:t>
      </w:r>
      <w:r w:rsidR="00A860BC" w:rsidRPr="0059317C">
        <w:rPr>
          <w:rFonts w:eastAsiaTheme="minorEastAsia"/>
          <w:szCs w:val="20"/>
          <w:lang w:val="de-DE"/>
        </w:rPr>
        <w:t>Tell el-</w:t>
      </w:r>
      <w:r w:rsidRPr="0059317C">
        <w:rPr>
          <w:rFonts w:eastAsiaTheme="minorEastAsia"/>
          <w:szCs w:val="20"/>
          <w:lang w:val="en-US"/>
        </w:rPr>
        <w:t xml:space="preserve">Dab`a and the Southern Palestinian sites is obviously needed to firm up the two-stage hypothesis.  For example, it might appear that </w:t>
      </w:r>
      <w:r w:rsidR="00982950">
        <w:rPr>
          <w:rFonts w:eastAsiaTheme="minorEastAsia"/>
          <w:szCs w:val="20"/>
          <w:lang w:val="en-US"/>
        </w:rPr>
        <w:t xml:space="preserve">LPW </w:t>
      </w:r>
      <w:r w:rsidRPr="0059317C">
        <w:rPr>
          <w:rFonts w:eastAsiaTheme="minorEastAsia"/>
          <w:szCs w:val="20"/>
          <w:lang w:val="en-US"/>
        </w:rPr>
        <w:t xml:space="preserve">is largely a “northern Levantine phenomenon,” because of the current distribution of this pottery </w:t>
      </w:r>
      <w:r w:rsidR="00227AE8" w:rsidRPr="0059317C">
        <w:rPr>
          <w:rFonts w:eastAsiaTheme="minorEastAsia"/>
          <w:szCs w:val="20"/>
          <w:lang w:val="en-US"/>
        </w:rPr>
        <w:t>class</w:t>
      </w:r>
      <w:r w:rsidRPr="0059317C">
        <w:rPr>
          <w:rFonts w:eastAsiaTheme="minorEastAsia"/>
          <w:szCs w:val="20"/>
          <w:lang w:val="en-US"/>
        </w:rPr>
        <w:t xml:space="preserve"> at many sites in the north.  But as the Ashkelon excavation</w:t>
      </w:r>
      <w:r w:rsidR="003A70CB">
        <w:rPr>
          <w:rFonts w:eastAsiaTheme="minorEastAsia"/>
          <w:szCs w:val="20"/>
          <w:lang w:val="en-US"/>
        </w:rPr>
        <w:t>s</w:t>
      </w:r>
      <w:r w:rsidRPr="0059317C">
        <w:rPr>
          <w:rFonts w:eastAsiaTheme="minorEastAsia"/>
          <w:szCs w:val="20"/>
          <w:lang w:val="en-US"/>
        </w:rPr>
        <w:t xml:space="preserve"> ha</w:t>
      </w:r>
      <w:r w:rsidR="008970FB">
        <w:rPr>
          <w:rFonts w:eastAsiaTheme="minorEastAsia"/>
          <w:szCs w:val="20"/>
          <w:lang w:val="en-US"/>
        </w:rPr>
        <w:t>ve</w:t>
      </w:r>
      <w:r w:rsidRPr="0059317C">
        <w:rPr>
          <w:rFonts w:eastAsiaTheme="minorEastAsia"/>
          <w:szCs w:val="20"/>
          <w:lang w:val="en-US"/>
        </w:rPr>
        <w:t xml:space="preserve"> </w:t>
      </w:r>
      <w:r w:rsidR="00780A6C" w:rsidRPr="0059317C">
        <w:rPr>
          <w:rFonts w:eastAsiaTheme="minorEastAsia"/>
          <w:szCs w:val="20"/>
          <w:lang w:val="en-US"/>
        </w:rPr>
        <w:t>begun to</w:t>
      </w:r>
      <w:r w:rsidRPr="0059317C">
        <w:rPr>
          <w:rFonts w:eastAsiaTheme="minorEastAsia"/>
          <w:szCs w:val="20"/>
          <w:lang w:val="en-US"/>
        </w:rPr>
        <w:t xml:space="preserve"> show,</w:t>
      </w:r>
      <w:r w:rsidR="00AC7D4C" w:rsidRPr="0059317C">
        <w:rPr>
          <w:rStyle w:val="FootnoteReference"/>
          <w:rFonts w:eastAsiaTheme="minorEastAsia"/>
          <w:szCs w:val="20"/>
          <w:lang w:val="en-US"/>
        </w:rPr>
        <w:footnoteReference w:id="9"/>
      </w:r>
      <w:r w:rsidRPr="0059317C">
        <w:rPr>
          <w:rFonts w:eastAsiaTheme="minorEastAsia"/>
          <w:szCs w:val="20"/>
          <w:lang w:val="en-US"/>
        </w:rPr>
        <w:t xml:space="preserve"> </w:t>
      </w:r>
      <w:r w:rsidR="008970FB">
        <w:rPr>
          <w:rFonts w:eastAsiaTheme="minorEastAsia"/>
          <w:szCs w:val="20"/>
          <w:lang w:val="en-US"/>
        </w:rPr>
        <w:t>LPW</w:t>
      </w:r>
      <w:r w:rsidRPr="0059317C">
        <w:rPr>
          <w:rFonts w:eastAsiaTheme="minorEastAsia"/>
          <w:szCs w:val="20"/>
          <w:lang w:val="en-US"/>
        </w:rPr>
        <w:t xml:space="preserve"> </w:t>
      </w:r>
      <w:r w:rsidR="00243EFD" w:rsidRPr="0059317C">
        <w:rPr>
          <w:rFonts w:eastAsiaTheme="minorEastAsia"/>
          <w:szCs w:val="20"/>
          <w:lang w:val="en-US"/>
        </w:rPr>
        <w:t xml:space="preserve">there is very </w:t>
      </w:r>
      <w:r w:rsidRPr="0059317C">
        <w:rPr>
          <w:rFonts w:eastAsiaTheme="minorEastAsia"/>
          <w:szCs w:val="20"/>
          <w:lang w:val="en-US"/>
        </w:rPr>
        <w:t xml:space="preserve">similar to </w:t>
      </w:r>
      <w:r w:rsidR="008752A3" w:rsidRPr="0059317C">
        <w:rPr>
          <w:rFonts w:eastAsiaTheme="minorEastAsia"/>
          <w:szCs w:val="20"/>
          <w:lang w:val="en-US"/>
        </w:rPr>
        <w:t>that from</w:t>
      </w:r>
      <w:r w:rsidRPr="0059317C">
        <w:rPr>
          <w:rFonts w:eastAsiaTheme="minorEastAsia"/>
          <w:szCs w:val="20"/>
          <w:lang w:val="en-US"/>
        </w:rPr>
        <w:t xml:space="preserve"> </w:t>
      </w:r>
      <w:r w:rsidR="00A860BC" w:rsidRPr="0059317C">
        <w:rPr>
          <w:rFonts w:eastAsiaTheme="minorEastAsia"/>
          <w:szCs w:val="20"/>
          <w:lang w:val="de-DE"/>
        </w:rPr>
        <w:t>Tell el-</w:t>
      </w:r>
      <w:r w:rsidRPr="0059317C">
        <w:rPr>
          <w:rFonts w:eastAsiaTheme="minorEastAsia"/>
          <w:szCs w:val="20"/>
          <w:lang w:val="en-US"/>
        </w:rPr>
        <w:t xml:space="preserve">Dab`a </w:t>
      </w:r>
      <w:r w:rsidR="00243EFD" w:rsidRPr="0059317C">
        <w:rPr>
          <w:rFonts w:eastAsiaTheme="minorEastAsia"/>
          <w:szCs w:val="20"/>
          <w:lang w:val="en-US"/>
        </w:rPr>
        <w:t xml:space="preserve">and follows a comparable stratigraphic sequence </w:t>
      </w:r>
      <w:r w:rsidR="004F5D27" w:rsidRPr="0059317C">
        <w:rPr>
          <w:rFonts w:eastAsiaTheme="minorEastAsia"/>
          <w:szCs w:val="20"/>
          <w:lang w:val="en-US"/>
        </w:rPr>
        <w:t>in its development, implying close ties between the sites</w:t>
      </w:r>
      <w:r w:rsidRPr="0059317C">
        <w:rPr>
          <w:rFonts w:eastAsiaTheme="minorEastAsia"/>
          <w:szCs w:val="20"/>
          <w:lang w:val="en-US"/>
        </w:rPr>
        <w:t xml:space="preserve">.  </w:t>
      </w:r>
      <w:r w:rsidR="00C94C22" w:rsidRPr="0059317C">
        <w:rPr>
          <w:rFonts w:eastAsiaTheme="minorEastAsia"/>
          <w:szCs w:val="20"/>
          <w:lang w:val="en-US"/>
        </w:rPr>
        <w:t xml:space="preserve">I would go further and argue for a “Syro-Palestinian” pottery industry at Tell el-Dab`a, which </w:t>
      </w:r>
      <w:r w:rsidR="003E00A1" w:rsidRPr="0059317C">
        <w:rPr>
          <w:rFonts w:eastAsiaTheme="minorEastAsia"/>
          <w:szCs w:val="20"/>
          <w:lang w:val="en-US"/>
        </w:rPr>
        <w:t>was initially established by immigr</w:t>
      </w:r>
      <w:r w:rsidR="00F876E8" w:rsidRPr="0059317C">
        <w:rPr>
          <w:rFonts w:eastAsiaTheme="minorEastAsia"/>
          <w:szCs w:val="20"/>
          <w:lang w:val="en-US"/>
        </w:rPr>
        <w:t xml:space="preserve">ant potters from Southern Palestine </w:t>
      </w:r>
      <w:r w:rsidR="006F6039" w:rsidRPr="0059317C">
        <w:rPr>
          <w:rFonts w:eastAsiaTheme="minorEastAsia"/>
          <w:szCs w:val="20"/>
          <w:lang w:val="en-US"/>
        </w:rPr>
        <w:t xml:space="preserve">as early as the </w:t>
      </w:r>
      <w:r w:rsidR="008670B8">
        <w:rPr>
          <w:rFonts w:eastAsiaTheme="minorEastAsia"/>
          <w:szCs w:val="20"/>
          <w:lang w:val="en-US"/>
        </w:rPr>
        <w:t xml:space="preserve">late </w:t>
      </w:r>
      <w:r w:rsidR="00363D7B" w:rsidRPr="0059317C">
        <w:rPr>
          <w:rFonts w:eastAsiaTheme="minorEastAsia"/>
          <w:szCs w:val="20"/>
          <w:lang w:val="en-US"/>
        </w:rPr>
        <w:t>13</w:t>
      </w:r>
      <w:r w:rsidR="00363D7B" w:rsidRPr="0059317C">
        <w:rPr>
          <w:rFonts w:eastAsiaTheme="minorEastAsia"/>
          <w:szCs w:val="20"/>
          <w:vertAlign w:val="superscript"/>
          <w:lang w:val="en-US"/>
        </w:rPr>
        <w:t>th</w:t>
      </w:r>
      <w:r w:rsidR="00363D7B" w:rsidRPr="0059317C">
        <w:rPr>
          <w:rFonts w:eastAsiaTheme="minorEastAsia"/>
          <w:szCs w:val="20"/>
          <w:lang w:val="en-US"/>
        </w:rPr>
        <w:t xml:space="preserve"> Dynasty</w:t>
      </w:r>
      <w:r w:rsidR="006F6039" w:rsidRPr="0059317C">
        <w:rPr>
          <w:rFonts w:eastAsiaTheme="minorEastAsia"/>
          <w:szCs w:val="20"/>
          <w:lang w:val="en-US"/>
        </w:rPr>
        <w:t xml:space="preserve"> </w:t>
      </w:r>
      <w:r w:rsidR="00F876E8" w:rsidRPr="0059317C">
        <w:rPr>
          <w:rFonts w:eastAsiaTheme="minorEastAsia"/>
          <w:szCs w:val="20"/>
          <w:lang w:val="en-US"/>
        </w:rPr>
        <w:t xml:space="preserve">and which </w:t>
      </w:r>
      <w:r w:rsidR="00C94C22" w:rsidRPr="0059317C">
        <w:rPr>
          <w:rFonts w:eastAsiaTheme="minorEastAsia"/>
          <w:szCs w:val="20"/>
          <w:lang w:val="en-US"/>
        </w:rPr>
        <w:t xml:space="preserve">operated separately from </w:t>
      </w:r>
      <w:r w:rsidR="0024082F" w:rsidRPr="0059317C">
        <w:rPr>
          <w:rFonts w:eastAsiaTheme="minorEastAsia"/>
          <w:szCs w:val="20"/>
          <w:lang w:val="en-US"/>
        </w:rPr>
        <w:t>the local Egyptian industry</w:t>
      </w:r>
      <w:r w:rsidR="004C3422" w:rsidRPr="0059317C">
        <w:rPr>
          <w:rFonts w:eastAsiaTheme="minorEastAsia"/>
          <w:szCs w:val="20"/>
          <w:lang w:val="en-US"/>
        </w:rPr>
        <w:t xml:space="preserve"> and eventually diverged somewhat from workshops in Southern Palestine</w:t>
      </w:r>
      <w:r w:rsidR="0024082F" w:rsidRPr="0059317C">
        <w:rPr>
          <w:rFonts w:eastAsiaTheme="minorEastAsia"/>
          <w:szCs w:val="20"/>
          <w:lang w:val="en-US"/>
        </w:rPr>
        <w:t>.</w:t>
      </w:r>
      <w:r w:rsidR="00F876E8" w:rsidRPr="0059317C">
        <w:rPr>
          <w:rFonts w:eastAsiaTheme="minorEastAsia"/>
          <w:szCs w:val="20"/>
          <w:lang w:val="en-US"/>
        </w:rPr>
        <w:t xml:space="preserve">  As I write on p. 80</w:t>
      </w:r>
      <w:r w:rsidR="00574A9E">
        <w:rPr>
          <w:rFonts w:eastAsiaTheme="minorEastAsia"/>
          <w:szCs w:val="20"/>
          <w:lang w:val="en-US"/>
        </w:rPr>
        <w:t xml:space="preserve"> of the monograph</w:t>
      </w:r>
      <w:r w:rsidR="00F876E8" w:rsidRPr="0059317C">
        <w:rPr>
          <w:rFonts w:eastAsiaTheme="minorEastAsia"/>
          <w:szCs w:val="20"/>
          <w:lang w:val="en-US"/>
        </w:rPr>
        <w:t xml:space="preserve">: </w:t>
      </w:r>
    </w:p>
    <w:p w14:paraId="124510A3" w14:textId="77777777" w:rsidR="004C3422" w:rsidRPr="0059317C" w:rsidRDefault="004C3422" w:rsidP="005125F6">
      <w:pPr>
        <w:widowControl w:val="0"/>
        <w:autoSpaceDE w:val="0"/>
        <w:autoSpaceDN w:val="0"/>
        <w:adjustRightInd w:val="0"/>
        <w:spacing w:after="0" w:line="240" w:lineRule="auto"/>
        <w:rPr>
          <w:rFonts w:eastAsiaTheme="minorEastAsia"/>
          <w:szCs w:val="20"/>
          <w:lang w:val="en-US"/>
        </w:rPr>
      </w:pPr>
    </w:p>
    <w:p w14:paraId="7E9BE7EC" w14:textId="77777777" w:rsidR="00243EFD" w:rsidRPr="004030D4" w:rsidRDefault="00F876E8" w:rsidP="00A75A31">
      <w:pPr>
        <w:widowControl w:val="0"/>
        <w:autoSpaceDE w:val="0"/>
        <w:autoSpaceDN w:val="0"/>
        <w:adjustRightInd w:val="0"/>
        <w:spacing w:after="0" w:line="240" w:lineRule="auto"/>
        <w:ind w:left="720"/>
        <w:rPr>
          <w:rFonts w:eastAsiaTheme="minorEastAsia"/>
          <w:sz w:val="22"/>
          <w:szCs w:val="20"/>
          <w:lang w:val="en-US"/>
        </w:rPr>
      </w:pPr>
      <w:r w:rsidRPr="004030D4">
        <w:rPr>
          <w:rFonts w:eastAsiaTheme="minorEastAsia"/>
          <w:sz w:val="22"/>
          <w:szCs w:val="20"/>
          <w:lang w:val="en-US"/>
        </w:rPr>
        <w:lastRenderedPageBreak/>
        <w:t xml:space="preserve">Early </w:t>
      </w:r>
      <w:r w:rsidR="004C3422" w:rsidRPr="004030D4">
        <w:rPr>
          <w:rFonts w:eastAsiaTheme="minorEastAsia"/>
          <w:sz w:val="22"/>
          <w:szCs w:val="20"/>
          <w:lang w:val="en-US"/>
        </w:rPr>
        <w:t>in the MBA, the imitations of Syro-Palestinian pottery types [made of Nile alluvial clay] were indistinguishable, stylistically and technologically, from true imports.  By MB IIB, when the relative percentage of imitations also noticeably increases, a range of local "Syro-Palestinian" types has emerged, which were further elaborated upon during the remainder of the MBA, including piriform, biconical, and combed varieties of Tell el-Yahudiyeh jugs and juglets</w:t>
      </w:r>
      <w:r w:rsidR="00A75A31" w:rsidRPr="004030D4">
        <w:rPr>
          <w:rFonts w:eastAsiaTheme="minorEastAsia"/>
          <w:sz w:val="22"/>
          <w:szCs w:val="20"/>
          <w:lang w:val="en-US"/>
        </w:rPr>
        <w:t>…</w:t>
      </w:r>
      <w:r w:rsidR="004C3422" w:rsidRPr="004030D4">
        <w:rPr>
          <w:rFonts w:eastAsiaTheme="minorEastAsia"/>
          <w:sz w:val="22"/>
          <w:szCs w:val="20"/>
          <w:lang w:val="en-US"/>
        </w:rPr>
        <w:t>and piriform and globular painted Tell el-Yahudiyeh juglets.</w:t>
      </w:r>
    </w:p>
    <w:p w14:paraId="3E1D4579" w14:textId="77777777" w:rsidR="004C3422" w:rsidRPr="004030D4" w:rsidRDefault="004C3422" w:rsidP="005125F6">
      <w:pPr>
        <w:widowControl w:val="0"/>
        <w:autoSpaceDE w:val="0"/>
        <w:autoSpaceDN w:val="0"/>
        <w:adjustRightInd w:val="0"/>
        <w:spacing w:after="0" w:line="240" w:lineRule="auto"/>
        <w:rPr>
          <w:rFonts w:eastAsiaTheme="minorEastAsia"/>
          <w:sz w:val="22"/>
          <w:szCs w:val="20"/>
          <w:lang w:val="en-US"/>
        </w:rPr>
      </w:pPr>
    </w:p>
    <w:p w14:paraId="03FEFEDD" w14:textId="4DC3F045" w:rsidR="005125F6" w:rsidRPr="0059317C" w:rsidRDefault="00363D7B" w:rsidP="005125F6">
      <w:pPr>
        <w:widowControl w:val="0"/>
        <w:autoSpaceDE w:val="0"/>
        <w:autoSpaceDN w:val="0"/>
        <w:adjustRightInd w:val="0"/>
        <w:spacing w:after="0" w:line="240" w:lineRule="auto"/>
        <w:rPr>
          <w:rFonts w:eastAsiaTheme="minorEastAsia"/>
          <w:szCs w:val="20"/>
          <w:lang w:val="en-US"/>
        </w:rPr>
      </w:pPr>
      <w:r w:rsidRPr="0059317C">
        <w:rPr>
          <w:rFonts w:eastAsiaTheme="minorEastAsia"/>
          <w:szCs w:val="20"/>
          <w:lang w:val="en-US"/>
        </w:rPr>
        <w:t>The available a</w:t>
      </w:r>
      <w:r w:rsidR="005125F6" w:rsidRPr="0059317C">
        <w:rPr>
          <w:rFonts w:eastAsiaTheme="minorEastAsia"/>
          <w:szCs w:val="20"/>
          <w:lang w:val="en-US"/>
        </w:rPr>
        <w:t>rchaeolog</w:t>
      </w:r>
      <w:r w:rsidR="0066131F" w:rsidRPr="0059317C">
        <w:rPr>
          <w:rFonts w:eastAsiaTheme="minorEastAsia"/>
          <w:szCs w:val="20"/>
          <w:lang w:val="en-US"/>
        </w:rPr>
        <w:t>ical evidence</w:t>
      </w:r>
      <w:r w:rsidR="005125F6" w:rsidRPr="0059317C">
        <w:rPr>
          <w:rFonts w:eastAsiaTheme="minorEastAsia"/>
          <w:szCs w:val="20"/>
          <w:lang w:val="en-US"/>
        </w:rPr>
        <w:t xml:space="preserve"> is very much a product of serendipitous discovery of ancient sites, sometimes buried deep beneath overlying strata, and current evidence can easily be skewed in one direction or another.  As I </w:t>
      </w:r>
      <w:r w:rsidR="00B60329" w:rsidRPr="0059317C">
        <w:rPr>
          <w:rFonts w:eastAsiaTheme="minorEastAsia"/>
          <w:szCs w:val="20"/>
          <w:lang w:val="en-US"/>
        </w:rPr>
        <w:t xml:space="preserve">concluded my book </w:t>
      </w:r>
      <w:r w:rsidR="005125F6" w:rsidRPr="0059317C">
        <w:rPr>
          <w:rFonts w:eastAsiaTheme="minorEastAsia"/>
          <w:szCs w:val="20"/>
          <w:lang w:val="en-US"/>
        </w:rPr>
        <w:t>on p. 83</w:t>
      </w:r>
      <w:r w:rsidR="00B443F5" w:rsidRPr="0059317C">
        <w:rPr>
          <w:rFonts w:eastAsiaTheme="minorEastAsia"/>
          <w:szCs w:val="20"/>
          <w:lang w:val="en-US"/>
        </w:rPr>
        <w:t>,</w:t>
      </w:r>
      <w:r w:rsidR="005125F6" w:rsidRPr="0059317C">
        <w:rPr>
          <w:rFonts w:eastAsiaTheme="minorEastAsia"/>
          <w:szCs w:val="20"/>
          <w:lang w:val="en-US"/>
        </w:rPr>
        <w:t xml:space="preserve"> </w:t>
      </w:r>
      <w:r w:rsidR="00F347D3">
        <w:rPr>
          <w:rFonts w:eastAsiaTheme="minorEastAsia"/>
          <w:szCs w:val="20"/>
          <w:lang w:val="en-US"/>
        </w:rPr>
        <w:t>19</w:t>
      </w:r>
      <w:r w:rsidR="005125F6" w:rsidRPr="0059317C">
        <w:rPr>
          <w:rFonts w:eastAsiaTheme="minorEastAsia"/>
          <w:szCs w:val="20"/>
          <w:lang w:val="en-US"/>
        </w:rPr>
        <w:t xml:space="preserve"> years ago: “The clear implication is that MB sites in Southern Palestine have not been sufficiently excavated and/or published, so that [what are now described as] "northern" types </w:t>
      </w:r>
      <w:r w:rsidR="00582B62" w:rsidRPr="0059317C">
        <w:rPr>
          <w:rFonts w:eastAsiaTheme="minorEastAsia"/>
          <w:szCs w:val="20"/>
          <w:lang w:val="en-US"/>
        </w:rPr>
        <w:t xml:space="preserve">[there] </w:t>
      </w:r>
      <w:r w:rsidR="005125F6" w:rsidRPr="0059317C">
        <w:rPr>
          <w:rFonts w:eastAsiaTheme="minorEastAsia"/>
          <w:szCs w:val="20"/>
          <w:lang w:val="en-US"/>
        </w:rPr>
        <w:t>are under-represented in distributional studies</w:t>
      </w:r>
      <w:r w:rsidR="00B443F5" w:rsidRPr="0059317C">
        <w:rPr>
          <w:rFonts w:eastAsiaTheme="minorEastAsia"/>
          <w:szCs w:val="20"/>
          <w:lang w:val="en-US"/>
        </w:rPr>
        <w:t>.</w:t>
      </w:r>
      <w:r w:rsidR="005125F6" w:rsidRPr="0059317C">
        <w:rPr>
          <w:rFonts w:eastAsiaTheme="minorEastAsia"/>
          <w:szCs w:val="20"/>
          <w:lang w:val="en-US"/>
        </w:rPr>
        <w:t xml:space="preserve">” </w:t>
      </w:r>
      <w:r w:rsidR="00B443F5" w:rsidRPr="0059317C">
        <w:rPr>
          <w:rFonts w:eastAsiaTheme="minorEastAsia"/>
          <w:szCs w:val="20"/>
          <w:lang w:val="en-US"/>
        </w:rPr>
        <w:t xml:space="preserve"> Eventually, </w:t>
      </w:r>
      <w:r w:rsidR="00484BB2" w:rsidRPr="0059317C">
        <w:rPr>
          <w:rFonts w:eastAsiaTheme="minorEastAsia"/>
          <w:szCs w:val="20"/>
          <w:lang w:val="en-US"/>
        </w:rPr>
        <w:t>specific LPW</w:t>
      </w:r>
      <w:r w:rsidR="00B443F5" w:rsidRPr="0059317C">
        <w:rPr>
          <w:rFonts w:eastAsiaTheme="minorEastAsia"/>
          <w:szCs w:val="20"/>
          <w:lang w:val="en-US"/>
        </w:rPr>
        <w:t xml:space="preserve"> types may</w:t>
      </w:r>
      <w:r w:rsidR="005125F6" w:rsidRPr="0059317C">
        <w:rPr>
          <w:rFonts w:eastAsiaTheme="minorEastAsia"/>
          <w:szCs w:val="20"/>
          <w:lang w:val="en-US"/>
        </w:rPr>
        <w:t xml:space="preserve"> </w:t>
      </w:r>
      <w:r w:rsidR="002D429E" w:rsidRPr="0059317C">
        <w:rPr>
          <w:rFonts w:eastAsiaTheme="minorEastAsia"/>
          <w:szCs w:val="20"/>
          <w:lang w:val="en-US"/>
        </w:rPr>
        <w:t>need</w:t>
      </w:r>
      <w:r w:rsidR="005125F6" w:rsidRPr="0059317C">
        <w:rPr>
          <w:rFonts w:eastAsiaTheme="minorEastAsia"/>
          <w:szCs w:val="20"/>
          <w:lang w:val="en-US"/>
        </w:rPr>
        <w:t xml:space="preserve"> to be </w:t>
      </w:r>
      <w:r w:rsidR="00582B62" w:rsidRPr="0059317C">
        <w:rPr>
          <w:rFonts w:eastAsiaTheme="minorEastAsia"/>
          <w:szCs w:val="20"/>
          <w:lang w:val="en-US"/>
        </w:rPr>
        <w:t xml:space="preserve">more generally </w:t>
      </w:r>
      <w:r w:rsidR="005125F6" w:rsidRPr="0059317C">
        <w:rPr>
          <w:rFonts w:eastAsiaTheme="minorEastAsia"/>
          <w:szCs w:val="20"/>
          <w:lang w:val="en-US"/>
        </w:rPr>
        <w:t xml:space="preserve">reclassified </w:t>
      </w:r>
      <w:r w:rsidR="00B443F5" w:rsidRPr="0059317C">
        <w:rPr>
          <w:rFonts w:eastAsiaTheme="minorEastAsia"/>
          <w:szCs w:val="20"/>
          <w:lang w:val="en-US"/>
        </w:rPr>
        <w:t>as</w:t>
      </w:r>
      <w:r w:rsidR="005125F6" w:rsidRPr="0059317C">
        <w:rPr>
          <w:rFonts w:eastAsiaTheme="minorEastAsia"/>
          <w:szCs w:val="20"/>
          <w:lang w:val="en-US"/>
        </w:rPr>
        <w:t xml:space="preserve"> “Syro-Palestinian types”</w:t>
      </w:r>
      <w:r w:rsidR="00484BB2" w:rsidRPr="0059317C">
        <w:rPr>
          <w:rFonts w:eastAsiaTheme="minorEastAsia"/>
          <w:szCs w:val="20"/>
          <w:lang w:val="en-US"/>
        </w:rPr>
        <w:t xml:space="preserve"> or even “Southern Palestinian types.”</w:t>
      </w:r>
      <w:r w:rsidR="005125F6" w:rsidRPr="0059317C">
        <w:rPr>
          <w:rFonts w:eastAsiaTheme="minorEastAsia"/>
          <w:szCs w:val="20"/>
          <w:lang w:val="en-US"/>
        </w:rPr>
        <w:t xml:space="preserve">  </w:t>
      </w:r>
      <w:r w:rsidR="005B63BF">
        <w:rPr>
          <w:rFonts w:eastAsiaTheme="minorEastAsia"/>
          <w:szCs w:val="20"/>
          <w:lang w:val="en-US"/>
        </w:rPr>
        <w:t>A similar case might be made for the</w:t>
      </w:r>
      <w:r w:rsidR="00BD7953">
        <w:rPr>
          <w:rFonts w:eastAsiaTheme="minorEastAsia"/>
          <w:szCs w:val="20"/>
          <w:lang w:val="en-US"/>
        </w:rPr>
        <w:t xml:space="preserve"> temple and palace</w:t>
      </w:r>
      <w:r w:rsidR="005B63BF">
        <w:rPr>
          <w:rFonts w:eastAsiaTheme="minorEastAsia"/>
          <w:szCs w:val="20"/>
          <w:lang w:val="en-US"/>
        </w:rPr>
        <w:t xml:space="preserve"> architecture at Tell el-Dab`a, which currently </w:t>
      </w:r>
      <w:r w:rsidR="00BD7953">
        <w:rPr>
          <w:rFonts w:eastAsiaTheme="minorEastAsia"/>
          <w:szCs w:val="20"/>
          <w:lang w:val="en-US"/>
        </w:rPr>
        <w:t xml:space="preserve">find </w:t>
      </w:r>
      <w:r w:rsidR="00F347D3">
        <w:rPr>
          <w:rFonts w:eastAsiaTheme="minorEastAsia"/>
          <w:szCs w:val="20"/>
          <w:lang w:val="en-US"/>
        </w:rPr>
        <w:t xml:space="preserve">their </w:t>
      </w:r>
      <w:r w:rsidR="00BD7953">
        <w:rPr>
          <w:rFonts w:eastAsiaTheme="minorEastAsia"/>
          <w:szCs w:val="20"/>
          <w:lang w:val="en-US"/>
        </w:rPr>
        <w:t>best parallel</w:t>
      </w:r>
      <w:r w:rsidR="00F347D3">
        <w:rPr>
          <w:rFonts w:eastAsiaTheme="minorEastAsia"/>
          <w:szCs w:val="20"/>
          <w:lang w:val="en-US"/>
        </w:rPr>
        <w:t>s</w:t>
      </w:r>
      <w:r w:rsidR="00BD7953">
        <w:rPr>
          <w:rFonts w:eastAsiaTheme="minorEastAsia"/>
          <w:szCs w:val="20"/>
          <w:lang w:val="en-US"/>
        </w:rPr>
        <w:t xml:space="preserve"> in the</w:t>
      </w:r>
      <w:r w:rsidR="005B63BF">
        <w:rPr>
          <w:rFonts w:eastAsiaTheme="minorEastAsia"/>
          <w:szCs w:val="20"/>
          <w:lang w:val="en-US"/>
        </w:rPr>
        <w:t xml:space="preserve"> northern Levant.</w:t>
      </w:r>
    </w:p>
    <w:p w14:paraId="688417D5" w14:textId="77777777" w:rsidR="005125F6" w:rsidRPr="0059317C" w:rsidRDefault="005125F6" w:rsidP="005125F6">
      <w:pPr>
        <w:widowControl w:val="0"/>
        <w:autoSpaceDE w:val="0"/>
        <w:autoSpaceDN w:val="0"/>
        <w:adjustRightInd w:val="0"/>
        <w:spacing w:after="0" w:line="240" w:lineRule="auto"/>
        <w:rPr>
          <w:rFonts w:eastAsiaTheme="minorEastAsia"/>
          <w:szCs w:val="20"/>
          <w:lang w:val="en-US"/>
        </w:rPr>
      </w:pPr>
    </w:p>
    <w:p w14:paraId="2E934562" w14:textId="46C145C3" w:rsidR="00D3250C" w:rsidRDefault="00D3250C" w:rsidP="004E333C">
      <w:pPr>
        <w:widowControl w:val="0"/>
        <w:autoSpaceDE w:val="0"/>
        <w:autoSpaceDN w:val="0"/>
        <w:adjustRightInd w:val="0"/>
        <w:spacing w:after="0" w:line="240" w:lineRule="auto"/>
        <w:rPr>
          <w:rFonts w:eastAsiaTheme="minorEastAsia"/>
          <w:b/>
          <w:szCs w:val="24"/>
          <w:lang w:val="en-US"/>
        </w:rPr>
      </w:pPr>
      <w:bookmarkStart w:id="13" w:name="_Hlk6035588"/>
      <w:r>
        <w:rPr>
          <w:rFonts w:eastAsiaTheme="minorEastAsia"/>
          <w:b/>
          <w:szCs w:val="24"/>
          <w:lang w:val="en-US"/>
        </w:rPr>
        <w:t>Does Goren’s Petrography Support Bietak’s Byblos Theory?</w:t>
      </w:r>
    </w:p>
    <w:p w14:paraId="62D995DE" w14:textId="77777777" w:rsidR="00D3250C" w:rsidRDefault="00D3250C" w:rsidP="004E333C">
      <w:pPr>
        <w:widowControl w:val="0"/>
        <w:autoSpaceDE w:val="0"/>
        <w:autoSpaceDN w:val="0"/>
        <w:adjustRightInd w:val="0"/>
        <w:spacing w:after="0" w:line="240" w:lineRule="auto"/>
        <w:rPr>
          <w:rFonts w:eastAsia="Times New Roman"/>
          <w:szCs w:val="20"/>
          <w:lang w:val="en-US"/>
        </w:rPr>
      </w:pPr>
    </w:p>
    <w:p w14:paraId="50575A9C" w14:textId="53CD6485" w:rsidR="00DA5804" w:rsidRPr="0059317C" w:rsidRDefault="00FA1CB7" w:rsidP="004E333C">
      <w:pPr>
        <w:widowControl w:val="0"/>
        <w:autoSpaceDE w:val="0"/>
        <w:autoSpaceDN w:val="0"/>
        <w:adjustRightInd w:val="0"/>
        <w:spacing w:after="0" w:line="240" w:lineRule="auto"/>
        <w:rPr>
          <w:rFonts w:eastAsia="Times New Roman"/>
          <w:szCs w:val="20"/>
          <w:lang w:val="en-US"/>
        </w:rPr>
      </w:pPr>
      <w:r>
        <w:rPr>
          <w:rFonts w:eastAsia="Times New Roman"/>
          <w:szCs w:val="20"/>
          <w:lang w:val="en-US"/>
        </w:rPr>
        <w:t>The discussion</w:t>
      </w:r>
      <w:r w:rsidR="004E333C" w:rsidRPr="0059317C">
        <w:rPr>
          <w:rFonts w:eastAsia="Times New Roman"/>
          <w:szCs w:val="20"/>
          <w:lang w:val="en-US"/>
        </w:rPr>
        <w:t xml:space="preserve"> of a petrographic study</w:t>
      </w:r>
      <w:r w:rsidR="00D97160" w:rsidRPr="0059317C">
        <w:rPr>
          <w:rFonts w:eastAsia="Times New Roman"/>
          <w:szCs w:val="20"/>
          <w:lang w:val="en-US"/>
        </w:rPr>
        <w:t xml:space="preserve"> by </w:t>
      </w:r>
      <w:r w:rsidR="00B94F49">
        <w:rPr>
          <w:rFonts w:eastAsia="Times New Roman"/>
          <w:szCs w:val="20"/>
          <w:lang w:val="en-US"/>
        </w:rPr>
        <w:t>Dr</w:t>
      </w:r>
      <w:r w:rsidR="0063654B">
        <w:rPr>
          <w:rFonts w:eastAsia="Times New Roman"/>
          <w:szCs w:val="20"/>
          <w:lang w:val="en-US"/>
        </w:rPr>
        <w:t>s</w:t>
      </w:r>
      <w:r w:rsidR="00B94F49">
        <w:rPr>
          <w:rFonts w:eastAsia="Times New Roman"/>
          <w:szCs w:val="20"/>
          <w:lang w:val="en-US"/>
        </w:rPr>
        <w:t xml:space="preserve">. </w:t>
      </w:r>
      <w:r w:rsidR="00D97160" w:rsidRPr="0059317C">
        <w:rPr>
          <w:rFonts w:eastAsia="Times New Roman"/>
          <w:szCs w:val="20"/>
          <w:lang w:val="en-US"/>
        </w:rPr>
        <w:t>Anat Cohen-Weinberger and Yuval Goren</w:t>
      </w:r>
      <w:r w:rsidR="004E333C" w:rsidRPr="0059317C">
        <w:rPr>
          <w:rFonts w:eastAsia="Times New Roman"/>
          <w:szCs w:val="20"/>
          <w:vertAlign w:val="superscript"/>
          <w:lang w:val="en-US"/>
        </w:rPr>
        <w:footnoteReference w:id="10"/>
      </w:r>
      <w:r w:rsidR="004E333C" w:rsidRPr="0059317C">
        <w:rPr>
          <w:rFonts w:eastAsia="Times New Roman"/>
          <w:szCs w:val="20"/>
          <w:lang w:val="en-US"/>
        </w:rPr>
        <w:t xml:space="preserve"> of the </w:t>
      </w:r>
      <w:r w:rsidR="004E333C" w:rsidRPr="0059317C">
        <w:rPr>
          <w:rFonts w:eastAsia="Times New Roman"/>
          <w:szCs w:val="20"/>
          <w:lang w:val="de-DE"/>
        </w:rPr>
        <w:t>Tell el-</w:t>
      </w:r>
      <w:r w:rsidR="004E333C" w:rsidRPr="0059317C">
        <w:rPr>
          <w:rFonts w:eastAsia="Times New Roman"/>
          <w:szCs w:val="20"/>
          <w:lang w:val="en-US"/>
        </w:rPr>
        <w:t>Dab`a imported pottery is appropriate here</w:t>
      </w:r>
      <w:r w:rsidR="007F58B6" w:rsidRPr="0059317C">
        <w:rPr>
          <w:rFonts w:eastAsia="Times New Roman"/>
          <w:szCs w:val="20"/>
          <w:lang w:val="en-US"/>
        </w:rPr>
        <w:t>, since their results were very much at odds with our NAA findings.  They</w:t>
      </w:r>
      <w:r w:rsidR="004E333C" w:rsidRPr="0059317C">
        <w:rPr>
          <w:rFonts w:eastAsia="Times New Roman"/>
          <w:szCs w:val="20"/>
          <w:lang w:val="en-US"/>
        </w:rPr>
        <w:t xml:space="preserve"> analyzed several of the same samples that we did by NAA, together with many more comparable imported Levantine pottery types from </w:t>
      </w:r>
      <w:r w:rsidR="004E333C" w:rsidRPr="0059317C">
        <w:rPr>
          <w:rFonts w:eastAsia="Times New Roman"/>
          <w:szCs w:val="20"/>
          <w:lang w:val="de-DE"/>
        </w:rPr>
        <w:t>Tell el-</w:t>
      </w:r>
      <w:r w:rsidR="004E333C" w:rsidRPr="0059317C">
        <w:rPr>
          <w:rFonts w:eastAsia="Times New Roman"/>
          <w:szCs w:val="20"/>
          <w:lang w:val="en-US"/>
        </w:rPr>
        <w:t>Dab`a</w:t>
      </w:r>
      <w:r w:rsidR="007F58B6" w:rsidRPr="0059317C">
        <w:rPr>
          <w:rFonts w:eastAsia="Times New Roman"/>
          <w:szCs w:val="20"/>
          <w:lang w:val="en-US"/>
        </w:rPr>
        <w:t xml:space="preserve">. </w:t>
      </w:r>
      <w:r w:rsidR="004E333C" w:rsidRPr="0059317C">
        <w:rPr>
          <w:rFonts w:eastAsia="Times New Roman"/>
          <w:szCs w:val="20"/>
          <w:lang w:val="en-US"/>
        </w:rPr>
        <w:t xml:space="preserve"> Overwhelmingly, </w:t>
      </w:r>
      <w:bookmarkStart w:id="15" w:name="_Hlk1551977"/>
      <w:r w:rsidR="007F58B6" w:rsidRPr="0059317C">
        <w:rPr>
          <w:rFonts w:eastAsia="Times New Roman"/>
          <w:szCs w:val="20"/>
          <w:lang w:val="en-US"/>
        </w:rPr>
        <w:t>they</w:t>
      </w:r>
      <w:r w:rsidR="004E333C" w:rsidRPr="0059317C">
        <w:rPr>
          <w:rFonts w:eastAsia="Times New Roman"/>
          <w:szCs w:val="20"/>
          <w:lang w:val="en-US"/>
        </w:rPr>
        <w:t xml:space="preserve"> </w:t>
      </w:r>
      <w:bookmarkEnd w:id="15"/>
      <w:r w:rsidR="004E333C" w:rsidRPr="0059317C">
        <w:rPr>
          <w:rFonts w:eastAsia="Times New Roman"/>
          <w:szCs w:val="20"/>
          <w:lang w:val="en-US"/>
        </w:rPr>
        <w:t xml:space="preserve">assigned the imported pottery at </w:t>
      </w:r>
      <w:r w:rsidR="004E333C" w:rsidRPr="0059317C">
        <w:rPr>
          <w:rFonts w:eastAsia="Times New Roman"/>
          <w:szCs w:val="20"/>
          <w:lang w:val="de-DE"/>
        </w:rPr>
        <w:t>Tell el-</w:t>
      </w:r>
      <w:r w:rsidR="004E333C" w:rsidRPr="0059317C">
        <w:rPr>
          <w:rFonts w:eastAsia="Times New Roman"/>
          <w:szCs w:val="20"/>
          <w:lang w:val="en-US"/>
        </w:rPr>
        <w:t>Dab`a</w:t>
      </w:r>
      <w:r w:rsidR="00FC589D" w:rsidRPr="0059317C">
        <w:rPr>
          <w:rFonts w:eastAsia="Times New Roman"/>
          <w:szCs w:val="20"/>
          <w:lang w:val="en-US"/>
        </w:rPr>
        <w:t xml:space="preserve">, dated to the entire MBA and not just the earliest phase of MB IIA, </w:t>
      </w:r>
      <w:r w:rsidR="004E333C" w:rsidRPr="0059317C">
        <w:rPr>
          <w:rFonts w:eastAsia="Times New Roman"/>
          <w:szCs w:val="20"/>
          <w:lang w:val="en-US"/>
        </w:rPr>
        <w:t>to the northern Levant (viz., Lebanon, Syria, and northern Palestine) and central Palestine.  Southern Palestine play</w:t>
      </w:r>
      <w:r w:rsidR="007F58B6" w:rsidRPr="0059317C">
        <w:rPr>
          <w:rFonts w:eastAsia="Times New Roman"/>
          <w:szCs w:val="20"/>
          <w:lang w:val="en-US"/>
        </w:rPr>
        <w:t>ed</w:t>
      </w:r>
      <w:r w:rsidR="004E333C" w:rsidRPr="0059317C">
        <w:rPr>
          <w:rFonts w:eastAsia="Times New Roman"/>
          <w:szCs w:val="20"/>
          <w:lang w:val="en-US"/>
        </w:rPr>
        <w:t xml:space="preserve"> a minor role</w:t>
      </w:r>
      <w:r w:rsidR="007F58B6" w:rsidRPr="0059317C">
        <w:rPr>
          <w:rFonts w:eastAsia="Times New Roman"/>
          <w:szCs w:val="20"/>
          <w:lang w:val="en-US"/>
        </w:rPr>
        <w:t xml:space="preserve"> </w:t>
      </w:r>
      <w:r w:rsidR="009F33AD" w:rsidRPr="0059317C">
        <w:rPr>
          <w:rFonts w:eastAsia="Times New Roman"/>
          <w:szCs w:val="20"/>
          <w:lang w:val="en-US"/>
        </w:rPr>
        <w:t>for the whole</w:t>
      </w:r>
      <w:r w:rsidR="007F58B6" w:rsidRPr="0059317C">
        <w:rPr>
          <w:rFonts w:eastAsia="Times New Roman"/>
          <w:szCs w:val="20"/>
          <w:lang w:val="en-US"/>
        </w:rPr>
        <w:t xml:space="preserve"> </w:t>
      </w:r>
      <w:r w:rsidR="009F33AD" w:rsidRPr="0059317C">
        <w:rPr>
          <w:rFonts w:eastAsia="Times New Roman"/>
          <w:szCs w:val="20"/>
          <w:lang w:val="en-US"/>
        </w:rPr>
        <w:t xml:space="preserve">of the </w:t>
      </w:r>
      <w:r w:rsidR="00DA5804" w:rsidRPr="0059317C">
        <w:rPr>
          <w:rFonts w:eastAsia="Times New Roman"/>
          <w:szCs w:val="20"/>
          <w:lang w:val="en-US"/>
        </w:rPr>
        <w:t>MBA</w:t>
      </w:r>
      <w:r w:rsidR="00B94F49">
        <w:rPr>
          <w:rFonts w:eastAsia="Times New Roman"/>
          <w:szCs w:val="20"/>
          <w:lang w:val="en-US"/>
        </w:rPr>
        <w:t>, according to their analyses</w:t>
      </w:r>
      <w:r w:rsidR="004E333C" w:rsidRPr="0059317C">
        <w:rPr>
          <w:rFonts w:eastAsia="Times New Roman"/>
          <w:szCs w:val="20"/>
          <w:lang w:val="en-US"/>
        </w:rPr>
        <w:t xml:space="preserve">.  </w:t>
      </w:r>
    </w:p>
    <w:p w14:paraId="423C0144" w14:textId="77777777" w:rsidR="00DA5804" w:rsidRPr="0059317C" w:rsidRDefault="00DA5804" w:rsidP="004E333C">
      <w:pPr>
        <w:widowControl w:val="0"/>
        <w:autoSpaceDE w:val="0"/>
        <w:autoSpaceDN w:val="0"/>
        <w:adjustRightInd w:val="0"/>
        <w:spacing w:after="0" w:line="240" w:lineRule="auto"/>
        <w:rPr>
          <w:rFonts w:eastAsia="Times New Roman"/>
          <w:szCs w:val="20"/>
          <w:lang w:val="en-US"/>
        </w:rPr>
      </w:pPr>
    </w:p>
    <w:p w14:paraId="6B6B8A71" w14:textId="61C9B41F" w:rsidR="009F7B3A" w:rsidRDefault="007874C7" w:rsidP="009F7B3A">
      <w:pPr>
        <w:widowControl w:val="0"/>
        <w:autoSpaceDE w:val="0"/>
        <w:autoSpaceDN w:val="0"/>
        <w:adjustRightInd w:val="0"/>
        <w:spacing w:after="0" w:line="240" w:lineRule="auto"/>
        <w:rPr>
          <w:rFonts w:eastAsia="Times New Roman"/>
          <w:szCs w:val="20"/>
          <w:lang w:val="en-US"/>
        </w:rPr>
      </w:pPr>
      <w:bookmarkStart w:id="16" w:name="_Hlk6034832"/>
      <w:r w:rsidRPr="0059317C">
        <w:rPr>
          <w:rFonts w:eastAsia="Times New Roman"/>
          <w:szCs w:val="20"/>
          <w:lang w:val="en-US"/>
        </w:rPr>
        <w:t xml:space="preserve">The data collection and the methodology on which the </w:t>
      </w:r>
      <w:r w:rsidR="002068D5" w:rsidRPr="0059317C">
        <w:rPr>
          <w:rFonts w:eastAsia="Times New Roman"/>
          <w:szCs w:val="20"/>
          <w:lang w:val="en-US"/>
        </w:rPr>
        <w:t xml:space="preserve">Cohen-Weinberger and </w:t>
      </w:r>
      <w:r w:rsidRPr="0059317C">
        <w:rPr>
          <w:rFonts w:eastAsia="Times New Roman"/>
          <w:szCs w:val="20"/>
          <w:lang w:val="en-US"/>
        </w:rPr>
        <w:lastRenderedPageBreak/>
        <w:t xml:space="preserve">Goren </w:t>
      </w:r>
      <w:r w:rsidR="008116F7" w:rsidRPr="0059317C">
        <w:rPr>
          <w:rFonts w:eastAsia="Times New Roman"/>
          <w:szCs w:val="20"/>
          <w:lang w:val="en-US"/>
        </w:rPr>
        <w:t>paper w</w:t>
      </w:r>
      <w:r w:rsidR="00BD5792">
        <w:rPr>
          <w:rFonts w:eastAsia="Times New Roman"/>
          <w:szCs w:val="20"/>
          <w:lang w:val="en-US"/>
        </w:rPr>
        <w:t>ere</w:t>
      </w:r>
      <w:r w:rsidR="008116F7" w:rsidRPr="0059317C">
        <w:rPr>
          <w:rFonts w:eastAsia="Times New Roman"/>
          <w:szCs w:val="20"/>
          <w:lang w:val="en-US"/>
        </w:rPr>
        <w:t xml:space="preserve"> based, however, </w:t>
      </w:r>
      <w:r w:rsidR="00BD5792">
        <w:rPr>
          <w:rFonts w:eastAsia="Times New Roman"/>
          <w:szCs w:val="20"/>
          <w:lang w:val="en-US"/>
        </w:rPr>
        <w:t>are</w:t>
      </w:r>
      <w:r w:rsidR="008116F7" w:rsidRPr="0059317C">
        <w:rPr>
          <w:rFonts w:eastAsia="Times New Roman"/>
          <w:szCs w:val="20"/>
          <w:lang w:val="en-US"/>
        </w:rPr>
        <w:t xml:space="preserve"> fundamentally flawed.</w:t>
      </w:r>
      <w:r w:rsidR="00B94F49" w:rsidRPr="00B94F49">
        <w:rPr>
          <w:rFonts w:eastAsia="Times New Roman"/>
          <w:szCs w:val="20"/>
          <w:lang w:val="en-US"/>
        </w:rPr>
        <w:t xml:space="preserve"> </w:t>
      </w:r>
      <w:r w:rsidR="00B94F49">
        <w:rPr>
          <w:rFonts w:eastAsia="Times New Roman"/>
          <w:szCs w:val="20"/>
          <w:lang w:val="en-US"/>
        </w:rPr>
        <w:t xml:space="preserve"> </w:t>
      </w:r>
      <w:r w:rsidR="00B94F49" w:rsidRPr="0059317C">
        <w:rPr>
          <w:rFonts w:eastAsia="Times New Roman"/>
          <w:szCs w:val="20"/>
          <w:lang w:val="en-US"/>
        </w:rPr>
        <w:t xml:space="preserve">Goren, in collaboration with his student Cohen-Weinberger at the time, </w:t>
      </w:r>
      <w:r w:rsidR="00B94F49">
        <w:rPr>
          <w:rFonts w:eastAsia="Times New Roman"/>
          <w:szCs w:val="20"/>
          <w:lang w:val="en-US"/>
        </w:rPr>
        <w:t>wa</w:t>
      </w:r>
      <w:r w:rsidR="00B94F49" w:rsidRPr="0059317C">
        <w:rPr>
          <w:rFonts w:eastAsia="Times New Roman"/>
          <w:szCs w:val="20"/>
          <w:lang w:val="en-US"/>
        </w:rPr>
        <w:t xml:space="preserve">s principally responsible for the petrographic approach.  </w:t>
      </w:r>
      <w:r w:rsidR="00B94F49">
        <w:rPr>
          <w:rFonts w:eastAsia="Times New Roman"/>
          <w:szCs w:val="20"/>
          <w:lang w:val="en-US"/>
        </w:rPr>
        <w:t>The criticisms are many and varied, b</w:t>
      </w:r>
      <w:r w:rsidR="00B94F49" w:rsidRPr="0059317C">
        <w:rPr>
          <w:rFonts w:eastAsia="Times New Roman"/>
          <w:szCs w:val="20"/>
          <w:lang w:val="en-US"/>
        </w:rPr>
        <w:t xml:space="preserve">ased on information provided to me by professional geologists and petrographers (specifically, Drs. </w:t>
      </w:r>
      <w:r w:rsidR="001B3B6F" w:rsidRPr="0059317C">
        <w:rPr>
          <w:rFonts w:eastAsia="Times New Roman"/>
          <w:szCs w:val="20"/>
          <w:lang w:val="en-US"/>
        </w:rPr>
        <w:t>Christopher Wnu</w:t>
      </w:r>
      <w:r w:rsidR="001B3B6F">
        <w:rPr>
          <w:rFonts w:eastAsia="Times New Roman"/>
          <w:szCs w:val="20"/>
          <w:lang w:val="en-US"/>
        </w:rPr>
        <w:t>k</w:t>
      </w:r>
      <w:r w:rsidR="001B3B6F" w:rsidRPr="0059317C">
        <w:rPr>
          <w:rFonts w:eastAsia="Times New Roman"/>
          <w:szCs w:val="20"/>
          <w:lang w:val="en-US"/>
        </w:rPr>
        <w:t xml:space="preserve"> </w:t>
      </w:r>
      <w:r w:rsidR="001B3B6F">
        <w:rPr>
          <w:rFonts w:eastAsia="Times New Roman"/>
          <w:szCs w:val="20"/>
          <w:lang w:val="en-US"/>
        </w:rPr>
        <w:t xml:space="preserve">and </w:t>
      </w:r>
      <w:r w:rsidR="00B94F49" w:rsidRPr="0059317C">
        <w:rPr>
          <w:rFonts w:eastAsia="Times New Roman"/>
          <w:szCs w:val="20"/>
          <w:lang w:val="en-US"/>
        </w:rPr>
        <w:t xml:space="preserve">Jack Donahue), materials scientists (Drs. Pamela Vandiver and W. David Kingery), and concerned archaeologists (especially Dr. </w:t>
      </w:r>
      <w:r w:rsidR="00DE010F">
        <w:rPr>
          <w:rFonts w:eastAsia="Times New Roman"/>
          <w:szCs w:val="20"/>
          <w:lang w:val="en-US"/>
        </w:rPr>
        <w:t xml:space="preserve">R. </w:t>
      </w:r>
      <w:r w:rsidR="00B94F49" w:rsidRPr="0059317C">
        <w:rPr>
          <w:rFonts w:eastAsia="Times New Roman"/>
          <w:szCs w:val="20"/>
          <w:lang w:val="en-US"/>
        </w:rPr>
        <w:t>Thomas Schaub)</w:t>
      </w:r>
      <w:r w:rsidR="00B94F49">
        <w:rPr>
          <w:rFonts w:eastAsia="Times New Roman"/>
          <w:szCs w:val="20"/>
          <w:lang w:val="en-US"/>
        </w:rPr>
        <w:t>.</w:t>
      </w:r>
      <w:r w:rsidR="004E333C" w:rsidRPr="0059317C">
        <w:rPr>
          <w:rFonts w:eastAsia="Times New Roman"/>
          <w:szCs w:val="20"/>
          <w:lang w:val="en-US"/>
        </w:rPr>
        <w:t xml:space="preserve"> </w:t>
      </w:r>
    </w:p>
    <w:p w14:paraId="29B0C628" w14:textId="77777777" w:rsidR="0069340F" w:rsidRDefault="0069340F" w:rsidP="009F7B3A">
      <w:pPr>
        <w:widowControl w:val="0"/>
        <w:autoSpaceDE w:val="0"/>
        <w:autoSpaceDN w:val="0"/>
        <w:adjustRightInd w:val="0"/>
        <w:spacing w:after="0" w:line="240" w:lineRule="auto"/>
        <w:rPr>
          <w:rFonts w:eastAsia="Times New Roman"/>
          <w:szCs w:val="20"/>
          <w:lang w:val="en-US"/>
        </w:rPr>
      </w:pPr>
    </w:p>
    <w:p w14:paraId="0D4EBA88" w14:textId="6D990801" w:rsidR="00347381" w:rsidRPr="0059317C" w:rsidRDefault="00B94F49" w:rsidP="00927032">
      <w:pPr>
        <w:widowControl w:val="0"/>
        <w:autoSpaceDE w:val="0"/>
        <w:autoSpaceDN w:val="0"/>
        <w:adjustRightInd w:val="0"/>
        <w:spacing w:after="0" w:line="240" w:lineRule="auto"/>
        <w:rPr>
          <w:rFonts w:eastAsia="Times New Roman"/>
          <w:szCs w:val="20"/>
          <w:lang w:val="en-US"/>
        </w:rPr>
      </w:pPr>
      <w:r>
        <w:rPr>
          <w:rFonts w:eastAsia="Times New Roman"/>
          <w:szCs w:val="20"/>
          <w:lang w:val="en-US"/>
        </w:rPr>
        <w:t>T</w:t>
      </w:r>
      <w:r w:rsidR="006566F9" w:rsidRPr="0059317C">
        <w:rPr>
          <w:rFonts w:eastAsia="Times New Roman"/>
          <w:szCs w:val="20"/>
          <w:lang w:val="en-US"/>
        </w:rPr>
        <w:t>he key deficiencies</w:t>
      </w:r>
      <w:r w:rsidR="00D752D9" w:rsidRPr="0059317C">
        <w:rPr>
          <w:rFonts w:eastAsia="Times New Roman"/>
          <w:szCs w:val="20"/>
          <w:lang w:val="en-US"/>
        </w:rPr>
        <w:t xml:space="preserve"> of Goren’s methodology can be summarized by </w:t>
      </w:r>
      <w:r>
        <w:rPr>
          <w:rFonts w:eastAsia="Times New Roman"/>
          <w:szCs w:val="20"/>
          <w:lang w:val="en-US"/>
        </w:rPr>
        <w:t>a series of</w:t>
      </w:r>
      <w:r w:rsidR="00CC0E08" w:rsidRPr="0059317C">
        <w:rPr>
          <w:rFonts w:eastAsia="Times New Roman"/>
          <w:szCs w:val="20"/>
          <w:lang w:val="en-US"/>
        </w:rPr>
        <w:t xml:space="preserve"> </w:t>
      </w:r>
      <w:r w:rsidR="00BD7953">
        <w:rPr>
          <w:rFonts w:eastAsia="Times New Roman"/>
          <w:szCs w:val="20"/>
          <w:lang w:val="en-US"/>
        </w:rPr>
        <w:t xml:space="preserve">numbered </w:t>
      </w:r>
      <w:r w:rsidR="006566F9" w:rsidRPr="0059317C">
        <w:rPr>
          <w:rFonts w:eastAsia="Times New Roman"/>
          <w:szCs w:val="20"/>
          <w:lang w:val="en-US"/>
        </w:rPr>
        <w:t>points</w:t>
      </w:r>
      <w:r>
        <w:rPr>
          <w:rFonts w:eastAsia="Times New Roman"/>
          <w:szCs w:val="20"/>
          <w:lang w:val="en-US"/>
        </w:rPr>
        <w:t>, which follow</w:t>
      </w:r>
      <w:r w:rsidR="001B3B6F">
        <w:rPr>
          <w:rFonts w:eastAsia="Times New Roman"/>
          <w:szCs w:val="20"/>
          <w:lang w:val="en-US"/>
        </w:rPr>
        <w:t>:</w:t>
      </w:r>
    </w:p>
    <w:p w14:paraId="2056B964" w14:textId="77777777" w:rsidR="00737B07" w:rsidRPr="0059317C" w:rsidRDefault="00737B07" w:rsidP="0069340F">
      <w:pPr>
        <w:widowControl w:val="0"/>
        <w:autoSpaceDE w:val="0"/>
        <w:autoSpaceDN w:val="0"/>
        <w:adjustRightInd w:val="0"/>
        <w:spacing w:after="0" w:line="240" w:lineRule="auto"/>
        <w:rPr>
          <w:rFonts w:eastAsia="Times New Roman"/>
          <w:szCs w:val="20"/>
          <w:lang w:val="en-US"/>
        </w:rPr>
      </w:pPr>
    </w:p>
    <w:p w14:paraId="7D267018" w14:textId="61748FAB" w:rsidR="00A95085" w:rsidRPr="0059317C" w:rsidRDefault="007E347E" w:rsidP="00BB41B6">
      <w:pPr>
        <w:widowControl w:val="0"/>
        <w:autoSpaceDE w:val="0"/>
        <w:autoSpaceDN w:val="0"/>
        <w:adjustRightInd w:val="0"/>
        <w:spacing w:after="0" w:line="240" w:lineRule="auto"/>
        <w:rPr>
          <w:rFonts w:eastAsia="Times New Roman"/>
          <w:szCs w:val="20"/>
          <w:lang w:val="en-US"/>
        </w:rPr>
      </w:pPr>
      <w:bookmarkStart w:id="17" w:name="_Hlk4823882"/>
      <w:r w:rsidRPr="0059317C">
        <w:rPr>
          <w:rFonts w:eastAsia="Times New Roman"/>
          <w:szCs w:val="20"/>
          <w:lang w:val="en-US"/>
        </w:rPr>
        <w:t xml:space="preserve">1) </w:t>
      </w:r>
      <w:bookmarkStart w:id="18" w:name="_Hlk4824321"/>
      <w:r w:rsidRPr="0059317C">
        <w:rPr>
          <w:rFonts w:eastAsia="Times New Roman"/>
          <w:szCs w:val="20"/>
          <w:lang w:val="en-US"/>
        </w:rPr>
        <w:t xml:space="preserve">The first </w:t>
      </w:r>
      <w:r w:rsidR="00A4625D" w:rsidRPr="0059317C">
        <w:rPr>
          <w:rFonts w:eastAsia="Times New Roman"/>
          <w:szCs w:val="20"/>
          <w:lang w:val="en-US"/>
        </w:rPr>
        <w:t xml:space="preserve">and overriding </w:t>
      </w:r>
      <w:r w:rsidR="00013E1D" w:rsidRPr="0059317C">
        <w:rPr>
          <w:rFonts w:eastAsia="Times New Roman"/>
          <w:szCs w:val="20"/>
          <w:lang w:val="en-US"/>
        </w:rPr>
        <w:t>requirement</w:t>
      </w:r>
      <w:r w:rsidRPr="0059317C">
        <w:rPr>
          <w:rFonts w:eastAsia="Times New Roman"/>
          <w:szCs w:val="20"/>
          <w:lang w:val="en-US"/>
        </w:rPr>
        <w:t xml:space="preserve"> of </w:t>
      </w:r>
      <w:r w:rsidR="009D7F67" w:rsidRPr="0059317C">
        <w:rPr>
          <w:rFonts w:eastAsia="Times New Roman"/>
          <w:szCs w:val="20"/>
          <w:lang w:val="en-US"/>
        </w:rPr>
        <w:t xml:space="preserve">any scientific study, including those based on </w:t>
      </w:r>
      <w:r w:rsidRPr="0059317C">
        <w:rPr>
          <w:rFonts w:eastAsia="Times New Roman"/>
          <w:szCs w:val="20"/>
          <w:lang w:val="en-US"/>
        </w:rPr>
        <w:t>petrograph</w:t>
      </w:r>
      <w:r w:rsidR="009D7F67" w:rsidRPr="0059317C">
        <w:rPr>
          <w:rFonts w:eastAsia="Times New Roman"/>
          <w:szCs w:val="20"/>
          <w:lang w:val="en-US"/>
        </w:rPr>
        <w:t>y and/or chemical</w:t>
      </w:r>
      <w:r w:rsidR="004328B5" w:rsidRPr="0059317C">
        <w:rPr>
          <w:rFonts w:eastAsia="Times New Roman"/>
          <w:szCs w:val="20"/>
          <w:lang w:val="en-US"/>
        </w:rPr>
        <w:t xml:space="preserve"> analysis (such as NAA), </w:t>
      </w:r>
      <w:r w:rsidRPr="0059317C">
        <w:rPr>
          <w:rFonts w:eastAsia="Times New Roman"/>
          <w:szCs w:val="20"/>
          <w:lang w:val="en-US"/>
        </w:rPr>
        <w:t xml:space="preserve">is to collect their data independently of </w:t>
      </w:r>
      <w:r w:rsidR="00234F6E" w:rsidRPr="0059317C">
        <w:rPr>
          <w:rFonts w:eastAsia="Times New Roman"/>
          <w:szCs w:val="20"/>
          <w:lang w:val="en-US"/>
        </w:rPr>
        <w:t xml:space="preserve">one another and separate </w:t>
      </w:r>
      <w:r w:rsidR="00A4625D" w:rsidRPr="0059317C">
        <w:rPr>
          <w:rFonts w:eastAsia="Times New Roman"/>
          <w:szCs w:val="20"/>
          <w:lang w:val="en-US"/>
        </w:rPr>
        <w:t xml:space="preserve">them </w:t>
      </w:r>
      <w:r w:rsidR="00234F6E" w:rsidRPr="0059317C">
        <w:rPr>
          <w:rFonts w:eastAsia="Times New Roman"/>
          <w:szCs w:val="20"/>
          <w:lang w:val="en-US"/>
        </w:rPr>
        <w:t xml:space="preserve">from </w:t>
      </w:r>
      <w:r w:rsidRPr="0059317C">
        <w:rPr>
          <w:rFonts w:eastAsia="Times New Roman"/>
          <w:szCs w:val="20"/>
          <w:lang w:val="en-US"/>
        </w:rPr>
        <w:t xml:space="preserve">the archaeological </w:t>
      </w:r>
      <w:r w:rsidR="00437D12" w:rsidRPr="0059317C">
        <w:rPr>
          <w:rFonts w:eastAsia="Times New Roman"/>
          <w:szCs w:val="20"/>
          <w:lang w:val="en-US"/>
        </w:rPr>
        <w:t xml:space="preserve">and textual </w:t>
      </w:r>
      <w:r w:rsidRPr="0059317C">
        <w:rPr>
          <w:rFonts w:eastAsia="Times New Roman"/>
          <w:szCs w:val="20"/>
          <w:lang w:val="en-US"/>
        </w:rPr>
        <w:t>data</w:t>
      </w:r>
      <w:r w:rsidR="00234F6E" w:rsidRPr="0059317C">
        <w:rPr>
          <w:rFonts w:eastAsia="Times New Roman"/>
          <w:szCs w:val="20"/>
          <w:lang w:val="en-US"/>
        </w:rPr>
        <w:t xml:space="preserve"> </w:t>
      </w:r>
      <w:r w:rsidR="00901B00" w:rsidRPr="0059317C">
        <w:rPr>
          <w:rFonts w:eastAsia="Times New Roman"/>
          <w:szCs w:val="20"/>
          <w:lang w:val="en-US"/>
        </w:rPr>
        <w:t xml:space="preserve">and </w:t>
      </w:r>
      <w:r w:rsidR="00A4625D" w:rsidRPr="0059317C">
        <w:rPr>
          <w:rFonts w:eastAsia="Times New Roman"/>
          <w:szCs w:val="20"/>
          <w:lang w:val="en-US"/>
        </w:rPr>
        <w:t xml:space="preserve">any </w:t>
      </w:r>
      <w:r w:rsidR="00901B00" w:rsidRPr="0059317C">
        <w:rPr>
          <w:rFonts w:eastAsia="Times New Roman"/>
          <w:szCs w:val="20"/>
          <w:lang w:val="en-US"/>
        </w:rPr>
        <w:t xml:space="preserve">proposed interpretations </w:t>
      </w:r>
      <w:r w:rsidR="00A4625D" w:rsidRPr="0059317C">
        <w:rPr>
          <w:rFonts w:eastAsia="Times New Roman"/>
          <w:szCs w:val="20"/>
          <w:lang w:val="en-US"/>
        </w:rPr>
        <w:t xml:space="preserve">derived </w:t>
      </w:r>
      <w:r w:rsidR="00901B00" w:rsidRPr="0059317C">
        <w:rPr>
          <w:rFonts w:eastAsia="Times New Roman"/>
          <w:szCs w:val="20"/>
          <w:lang w:val="en-US"/>
        </w:rPr>
        <w:t>f</w:t>
      </w:r>
      <w:r w:rsidR="00A4625D" w:rsidRPr="0059317C">
        <w:rPr>
          <w:rFonts w:eastAsia="Times New Roman"/>
          <w:szCs w:val="20"/>
          <w:lang w:val="en-US"/>
        </w:rPr>
        <w:t>rom</w:t>
      </w:r>
      <w:r w:rsidR="00901B00" w:rsidRPr="0059317C">
        <w:rPr>
          <w:rFonts w:eastAsia="Times New Roman"/>
          <w:szCs w:val="20"/>
          <w:lang w:val="en-US"/>
        </w:rPr>
        <w:t xml:space="preserve"> the latter.</w:t>
      </w:r>
      <w:bookmarkEnd w:id="18"/>
      <w:r w:rsidR="00901B00" w:rsidRPr="0059317C">
        <w:rPr>
          <w:rFonts w:eastAsia="Times New Roman"/>
          <w:szCs w:val="20"/>
          <w:lang w:val="en-US"/>
        </w:rPr>
        <w:t xml:space="preserve">  Otherwise, you </w:t>
      </w:r>
      <w:r w:rsidR="005F438C" w:rsidRPr="0059317C">
        <w:rPr>
          <w:rFonts w:eastAsia="Times New Roman"/>
          <w:szCs w:val="20"/>
          <w:lang w:val="en-US"/>
        </w:rPr>
        <w:t xml:space="preserve">run the </w:t>
      </w:r>
      <w:r w:rsidR="00901B00" w:rsidRPr="0059317C">
        <w:rPr>
          <w:rFonts w:eastAsia="Times New Roman"/>
          <w:szCs w:val="20"/>
          <w:lang w:val="en-US"/>
        </w:rPr>
        <w:t xml:space="preserve">risk </w:t>
      </w:r>
      <w:r w:rsidR="005F438C" w:rsidRPr="0059317C">
        <w:rPr>
          <w:rFonts w:eastAsia="Times New Roman"/>
          <w:szCs w:val="20"/>
          <w:lang w:val="en-US"/>
        </w:rPr>
        <w:t xml:space="preserve">of </w:t>
      </w:r>
      <w:r w:rsidR="00E8190F" w:rsidRPr="0059317C">
        <w:rPr>
          <w:rFonts w:eastAsia="Times New Roman"/>
          <w:szCs w:val="20"/>
          <w:lang w:val="en-US"/>
        </w:rPr>
        <w:t>prejudicing proper collection and processing of the data.  As</w:t>
      </w:r>
      <w:r w:rsidR="005F438C" w:rsidRPr="0059317C">
        <w:rPr>
          <w:rFonts w:eastAsia="Times New Roman"/>
          <w:szCs w:val="20"/>
          <w:lang w:val="en-US"/>
        </w:rPr>
        <w:t xml:space="preserve"> described below</w:t>
      </w:r>
      <w:r w:rsidR="007B4009" w:rsidRPr="0059317C">
        <w:rPr>
          <w:rFonts w:eastAsia="Times New Roman"/>
          <w:szCs w:val="20"/>
          <w:lang w:val="en-US"/>
        </w:rPr>
        <w:t xml:space="preserve"> (</w:t>
      </w:r>
      <w:r w:rsidR="00343F1E" w:rsidRPr="0059317C">
        <w:rPr>
          <w:rFonts w:eastAsia="Times New Roman"/>
          <w:szCs w:val="20"/>
          <w:lang w:val="en-US"/>
        </w:rPr>
        <w:t>#7</w:t>
      </w:r>
      <w:r w:rsidR="007B4009" w:rsidRPr="0059317C">
        <w:rPr>
          <w:rFonts w:eastAsia="Times New Roman"/>
          <w:szCs w:val="20"/>
          <w:lang w:val="en-US"/>
        </w:rPr>
        <w:t>)</w:t>
      </w:r>
      <w:r w:rsidR="005F438C" w:rsidRPr="0059317C">
        <w:rPr>
          <w:rFonts w:eastAsia="Times New Roman"/>
          <w:szCs w:val="20"/>
          <w:lang w:val="en-US"/>
        </w:rPr>
        <w:t xml:space="preserve">, </w:t>
      </w:r>
      <w:r w:rsidR="00E8190F" w:rsidRPr="0059317C">
        <w:rPr>
          <w:rFonts w:eastAsia="Times New Roman"/>
          <w:szCs w:val="20"/>
          <w:lang w:val="en-US"/>
        </w:rPr>
        <w:t>Goren</w:t>
      </w:r>
      <w:r w:rsidR="005F438C" w:rsidRPr="0059317C">
        <w:rPr>
          <w:rFonts w:eastAsia="Times New Roman"/>
          <w:szCs w:val="20"/>
          <w:lang w:val="en-US"/>
        </w:rPr>
        <w:t xml:space="preserve"> has fallen into this trap.  </w:t>
      </w:r>
      <w:r w:rsidR="007B4009" w:rsidRPr="0059317C">
        <w:rPr>
          <w:rFonts w:eastAsia="Times New Roman"/>
          <w:szCs w:val="20"/>
          <w:lang w:val="en-US"/>
        </w:rPr>
        <w:t xml:space="preserve">The proper procedure, once you have collected your data using </w:t>
      </w:r>
      <w:r w:rsidR="00A2785F" w:rsidRPr="0059317C">
        <w:rPr>
          <w:rFonts w:eastAsia="Times New Roman"/>
          <w:szCs w:val="20"/>
          <w:lang w:val="en-US"/>
        </w:rPr>
        <w:t>a</w:t>
      </w:r>
      <w:r w:rsidR="007B4009" w:rsidRPr="0059317C">
        <w:rPr>
          <w:rFonts w:eastAsia="Times New Roman"/>
          <w:szCs w:val="20"/>
          <w:lang w:val="en-US"/>
        </w:rPr>
        <w:t xml:space="preserve"> specific technique, is to infer </w:t>
      </w:r>
      <w:r w:rsidR="00A2785F" w:rsidRPr="0059317C">
        <w:rPr>
          <w:rFonts w:eastAsia="Times New Roman"/>
          <w:szCs w:val="20"/>
          <w:lang w:val="en-US"/>
        </w:rPr>
        <w:t xml:space="preserve">a “working hypothesis” that is then tested further by enlarging the sample database, modifying procedures for greater accuracy, etc. </w:t>
      </w:r>
      <w:r w:rsidR="00704764" w:rsidRPr="0059317C">
        <w:rPr>
          <w:rFonts w:eastAsia="Times New Roman"/>
          <w:szCs w:val="20"/>
          <w:lang w:val="en-US"/>
        </w:rPr>
        <w:t>(see further</w:t>
      </w:r>
      <w:r w:rsidR="00BD7953">
        <w:rPr>
          <w:rFonts w:eastAsia="Times New Roman"/>
          <w:szCs w:val="20"/>
          <w:lang w:val="en-US"/>
        </w:rPr>
        <w:t>,</w:t>
      </w:r>
      <w:r w:rsidR="00704764" w:rsidRPr="0059317C">
        <w:rPr>
          <w:rFonts w:eastAsia="Times New Roman"/>
          <w:szCs w:val="20"/>
          <w:lang w:val="en-US"/>
        </w:rPr>
        <w:t xml:space="preserve"> below). </w:t>
      </w:r>
      <w:r w:rsidR="00A2785F" w:rsidRPr="0059317C">
        <w:rPr>
          <w:rFonts w:eastAsia="Times New Roman"/>
          <w:szCs w:val="20"/>
          <w:lang w:val="en-US"/>
        </w:rPr>
        <w:t xml:space="preserve"> You also tentatively</w:t>
      </w:r>
      <w:r w:rsidR="00704764" w:rsidRPr="0059317C">
        <w:rPr>
          <w:rFonts w:eastAsia="Times New Roman"/>
          <w:szCs w:val="20"/>
          <w:lang w:val="en-US"/>
        </w:rPr>
        <w:t xml:space="preserve"> begin to </w:t>
      </w:r>
      <w:r w:rsidR="00A2785F" w:rsidRPr="0059317C">
        <w:rPr>
          <w:rFonts w:eastAsia="Times New Roman"/>
          <w:szCs w:val="20"/>
          <w:lang w:val="en-US"/>
        </w:rPr>
        <w:t>integrate</w:t>
      </w:r>
      <w:r w:rsidR="00704764" w:rsidRPr="0059317C">
        <w:rPr>
          <w:rFonts w:eastAsia="Times New Roman"/>
          <w:szCs w:val="20"/>
          <w:lang w:val="en-US"/>
        </w:rPr>
        <w:t xml:space="preserve"> working hypotheses using other scientific methods.  Finally, you attempt to fit the various working hypotheses into a general interpretation that does justice to the archaeological</w:t>
      </w:r>
      <w:r w:rsidR="00A2785F" w:rsidRPr="0059317C">
        <w:rPr>
          <w:rFonts w:eastAsia="Times New Roman"/>
          <w:szCs w:val="20"/>
          <w:lang w:val="en-US"/>
        </w:rPr>
        <w:t xml:space="preserve"> </w:t>
      </w:r>
      <w:r w:rsidR="00704764" w:rsidRPr="0059317C">
        <w:rPr>
          <w:rFonts w:eastAsia="Times New Roman"/>
          <w:szCs w:val="20"/>
          <w:lang w:val="en-US"/>
        </w:rPr>
        <w:t>and textual data</w:t>
      </w:r>
      <w:r w:rsidR="00437D12" w:rsidRPr="0059317C">
        <w:rPr>
          <w:rFonts w:eastAsia="Times New Roman"/>
          <w:szCs w:val="20"/>
          <w:lang w:val="en-US"/>
        </w:rPr>
        <w:t xml:space="preserve">, and continue with your testing, such as the follow-up NAA tests of supposedly northern Levantine imports into Tell el-Dab`a according to Dr. Bietak and </w:t>
      </w:r>
      <w:r w:rsidR="00EA307C" w:rsidRPr="0059317C">
        <w:rPr>
          <w:rFonts w:eastAsia="Times New Roman"/>
          <w:szCs w:val="20"/>
          <w:lang w:val="en-US"/>
        </w:rPr>
        <w:t xml:space="preserve">the Ashkelon </w:t>
      </w:r>
      <w:r w:rsidR="00511362" w:rsidRPr="0059317C">
        <w:rPr>
          <w:rFonts w:eastAsia="Times New Roman"/>
          <w:szCs w:val="20"/>
          <w:lang w:val="en-US"/>
        </w:rPr>
        <w:t xml:space="preserve">follow-up </w:t>
      </w:r>
      <w:r w:rsidR="00EA307C" w:rsidRPr="0059317C">
        <w:rPr>
          <w:rFonts w:eastAsia="Times New Roman"/>
          <w:szCs w:val="20"/>
          <w:lang w:val="en-US"/>
        </w:rPr>
        <w:t xml:space="preserve">study. </w:t>
      </w:r>
      <w:r w:rsidR="00A95085" w:rsidRPr="0059317C">
        <w:rPr>
          <w:rFonts w:eastAsia="Times New Roman"/>
          <w:szCs w:val="20"/>
          <w:lang w:val="en-US"/>
        </w:rPr>
        <w:t xml:space="preserve"> </w:t>
      </w:r>
      <w:r w:rsidR="00EA307C" w:rsidRPr="0059317C">
        <w:rPr>
          <w:rFonts w:eastAsia="Times New Roman"/>
          <w:szCs w:val="20"/>
          <w:lang w:val="en-US"/>
        </w:rPr>
        <w:t>It</w:t>
      </w:r>
      <w:r w:rsidR="007F66D7">
        <w:rPr>
          <w:rFonts w:eastAsia="Times New Roman"/>
          <w:szCs w:val="20"/>
          <w:lang w:val="en-US"/>
        </w:rPr>
        <w:t xml:space="preserve"> i</w:t>
      </w:r>
      <w:r w:rsidR="00EA307C" w:rsidRPr="0059317C">
        <w:rPr>
          <w:rFonts w:eastAsia="Times New Roman"/>
          <w:szCs w:val="20"/>
          <w:lang w:val="en-US"/>
        </w:rPr>
        <w:t xml:space="preserve">s the same approach </w:t>
      </w:r>
      <w:r w:rsidR="00A95085" w:rsidRPr="0059317C">
        <w:rPr>
          <w:rFonts w:eastAsia="Times New Roman"/>
          <w:szCs w:val="20"/>
          <w:lang w:val="en-US"/>
        </w:rPr>
        <w:t>we</w:t>
      </w:r>
      <w:r w:rsidR="00E27A00" w:rsidRPr="0059317C">
        <w:rPr>
          <w:rFonts w:eastAsia="Times New Roman"/>
          <w:szCs w:val="20"/>
          <w:lang w:val="en-US"/>
        </w:rPr>
        <w:t xml:space="preserve"> </w:t>
      </w:r>
      <w:r w:rsidR="00511362" w:rsidRPr="0059317C">
        <w:rPr>
          <w:rFonts w:eastAsia="Times New Roman"/>
          <w:szCs w:val="20"/>
          <w:lang w:val="en-US"/>
        </w:rPr>
        <w:t>appli</w:t>
      </w:r>
      <w:r w:rsidR="00E27A00" w:rsidRPr="0059317C">
        <w:rPr>
          <w:rFonts w:eastAsia="Times New Roman"/>
          <w:szCs w:val="20"/>
          <w:lang w:val="en-US"/>
        </w:rPr>
        <w:t>ed in our ceramic technology program</w:t>
      </w:r>
      <w:r w:rsidR="00EA307C" w:rsidRPr="0059317C">
        <w:rPr>
          <w:rFonts w:eastAsia="Times New Roman"/>
          <w:szCs w:val="20"/>
          <w:lang w:val="en-US"/>
        </w:rPr>
        <w:t xml:space="preserve">, going from pilot studies to </w:t>
      </w:r>
      <w:r w:rsidR="00511362" w:rsidRPr="0059317C">
        <w:rPr>
          <w:rFonts w:eastAsia="Times New Roman"/>
          <w:szCs w:val="20"/>
          <w:lang w:val="en-US"/>
        </w:rPr>
        <w:t xml:space="preserve">progressively more </w:t>
      </w:r>
      <w:r w:rsidR="00EA307C" w:rsidRPr="0059317C">
        <w:rPr>
          <w:rFonts w:eastAsia="Times New Roman"/>
          <w:szCs w:val="20"/>
          <w:lang w:val="en-US"/>
        </w:rPr>
        <w:t>enlarged, more directed databases</w:t>
      </w:r>
      <w:r w:rsidR="00E27A00" w:rsidRPr="0059317C">
        <w:rPr>
          <w:rFonts w:eastAsia="Times New Roman"/>
          <w:szCs w:val="20"/>
          <w:lang w:val="en-US"/>
        </w:rPr>
        <w:t xml:space="preserve"> (</w:t>
      </w:r>
      <w:r w:rsidR="0036712C" w:rsidRPr="0059317C">
        <w:rPr>
          <w:rFonts w:eastAsia="Times New Roman"/>
          <w:szCs w:val="20"/>
          <w:lang w:val="en-US"/>
        </w:rPr>
        <w:t>footnote</w:t>
      </w:r>
      <w:r w:rsidR="00E27A00" w:rsidRPr="0059317C">
        <w:rPr>
          <w:rFonts w:eastAsia="Times New Roman"/>
          <w:szCs w:val="20"/>
          <w:lang w:val="en-US"/>
        </w:rPr>
        <w:t xml:space="preserve"> </w:t>
      </w:r>
      <w:r w:rsidR="00F43602" w:rsidRPr="0059317C">
        <w:rPr>
          <w:rFonts w:eastAsia="Times New Roman"/>
          <w:szCs w:val="20"/>
          <w:lang w:val="en-US"/>
        </w:rPr>
        <w:t>1</w:t>
      </w:r>
      <w:r w:rsidR="007F66D7">
        <w:rPr>
          <w:rFonts w:eastAsia="Times New Roman"/>
          <w:szCs w:val="20"/>
          <w:lang w:val="en-US"/>
        </w:rPr>
        <w:t>7</w:t>
      </w:r>
      <w:r w:rsidR="00E5396D">
        <w:rPr>
          <w:rFonts w:eastAsia="Times New Roman"/>
          <w:szCs w:val="20"/>
          <w:lang w:val="en-US"/>
        </w:rPr>
        <w:t xml:space="preserve"> </w:t>
      </w:r>
      <w:r w:rsidR="00A95085" w:rsidRPr="0059317C">
        <w:rPr>
          <w:rFonts w:eastAsia="Times New Roman"/>
          <w:szCs w:val="20"/>
          <w:lang w:val="en-US"/>
        </w:rPr>
        <w:t>and below</w:t>
      </w:r>
      <w:r w:rsidR="00E27A00" w:rsidRPr="0059317C">
        <w:rPr>
          <w:rFonts w:eastAsia="Times New Roman"/>
          <w:szCs w:val="20"/>
          <w:lang w:val="en-US"/>
        </w:rPr>
        <w:t xml:space="preserve">).  </w:t>
      </w:r>
    </w:p>
    <w:p w14:paraId="46A74759" w14:textId="77777777" w:rsidR="00A95085" w:rsidRPr="0059317C" w:rsidRDefault="00A95085" w:rsidP="00BB41B6">
      <w:pPr>
        <w:widowControl w:val="0"/>
        <w:autoSpaceDE w:val="0"/>
        <w:autoSpaceDN w:val="0"/>
        <w:adjustRightInd w:val="0"/>
        <w:spacing w:after="0" w:line="240" w:lineRule="auto"/>
        <w:rPr>
          <w:rFonts w:eastAsia="Times New Roman"/>
          <w:szCs w:val="20"/>
          <w:lang w:val="en-US"/>
        </w:rPr>
      </w:pPr>
    </w:p>
    <w:p w14:paraId="1A68FA46" w14:textId="7186878B" w:rsidR="00B65463" w:rsidRPr="0059317C" w:rsidRDefault="00550EBE" w:rsidP="00B65463">
      <w:pPr>
        <w:widowControl w:val="0"/>
        <w:autoSpaceDE w:val="0"/>
        <w:autoSpaceDN w:val="0"/>
        <w:adjustRightInd w:val="0"/>
        <w:spacing w:after="0" w:line="240" w:lineRule="auto"/>
        <w:rPr>
          <w:rFonts w:eastAsia="Times New Roman"/>
          <w:szCs w:val="20"/>
          <w:lang w:val="en-US"/>
        </w:rPr>
      </w:pPr>
      <w:bookmarkStart w:id="19" w:name="_Hlk4079513"/>
      <w:bookmarkEnd w:id="17"/>
      <w:r w:rsidRPr="0059317C">
        <w:rPr>
          <w:rFonts w:eastAsia="Times New Roman"/>
          <w:szCs w:val="20"/>
          <w:lang w:val="en-US"/>
        </w:rPr>
        <w:t>2</w:t>
      </w:r>
      <w:r w:rsidR="00B65463" w:rsidRPr="0059317C">
        <w:rPr>
          <w:rFonts w:eastAsia="Times New Roman"/>
          <w:szCs w:val="20"/>
          <w:lang w:val="en-US"/>
        </w:rPr>
        <w:t xml:space="preserve">) 300+ </w:t>
      </w:r>
      <w:r w:rsidR="00871E8E" w:rsidRPr="0059317C">
        <w:rPr>
          <w:rFonts w:eastAsia="Times New Roman"/>
          <w:szCs w:val="20"/>
          <w:lang w:val="en-US"/>
        </w:rPr>
        <w:t xml:space="preserve">Tell el-Dab`a </w:t>
      </w:r>
      <w:r w:rsidR="00B65463" w:rsidRPr="0059317C">
        <w:rPr>
          <w:rFonts w:eastAsia="Times New Roman"/>
          <w:szCs w:val="20"/>
          <w:lang w:val="en-US"/>
        </w:rPr>
        <w:t>pottery samples (</w:t>
      </w:r>
      <w:r w:rsidR="007C674E">
        <w:rPr>
          <w:rFonts w:eastAsia="Times New Roman"/>
          <w:szCs w:val="20"/>
          <w:lang w:val="en-US"/>
        </w:rPr>
        <w:t>“</w:t>
      </w:r>
      <w:r w:rsidR="007C674E">
        <w:t>Daba Petrography,”</w:t>
      </w:r>
      <w:r w:rsidR="009F0CDA">
        <w:t xml:space="preserve"> </w:t>
      </w:r>
      <w:r w:rsidR="00B65463" w:rsidRPr="0059317C">
        <w:rPr>
          <w:rFonts w:eastAsia="Times New Roman"/>
          <w:szCs w:val="20"/>
          <w:lang w:val="en-US"/>
        </w:rPr>
        <w:t>p. 69</w:t>
      </w:r>
      <w:r w:rsidR="00C43C1B" w:rsidRPr="0059317C">
        <w:rPr>
          <w:rFonts w:eastAsia="Times New Roman"/>
          <w:szCs w:val="20"/>
          <w:lang w:val="en-US"/>
        </w:rPr>
        <w:t>), about 300 Amarna</w:t>
      </w:r>
      <w:r w:rsidR="0094034D" w:rsidRPr="0059317C">
        <w:rPr>
          <w:rFonts w:eastAsia="Times New Roman"/>
          <w:szCs w:val="20"/>
          <w:lang w:val="en-US"/>
        </w:rPr>
        <w:t xml:space="preserve"> Letter clay</w:t>
      </w:r>
      <w:r w:rsidR="00C43C1B" w:rsidRPr="0059317C">
        <w:rPr>
          <w:rFonts w:eastAsia="Times New Roman"/>
          <w:szCs w:val="20"/>
          <w:lang w:val="en-US"/>
        </w:rPr>
        <w:t xml:space="preserve"> tablets (</w:t>
      </w:r>
      <w:r w:rsidR="003106F5" w:rsidRPr="00AE7DA1">
        <w:rPr>
          <w:i/>
          <w:lang w:val="en-US"/>
        </w:rPr>
        <w:t xml:space="preserve">Inscribed </w:t>
      </w:r>
      <w:r w:rsidR="003106F5">
        <w:rPr>
          <w:i/>
          <w:lang w:val="en-US"/>
        </w:rPr>
        <w:t>i</w:t>
      </w:r>
      <w:r w:rsidR="003106F5" w:rsidRPr="00AE7DA1">
        <w:rPr>
          <w:i/>
          <w:lang w:val="en-US"/>
        </w:rPr>
        <w:t>n Clay</w:t>
      </w:r>
      <w:r w:rsidR="00B65463" w:rsidRPr="0059317C">
        <w:rPr>
          <w:rFonts w:eastAsia="Times New Roman"/>
          <w:szCs w:val="20"/>
          <w:lang w:val="en-US"/>
        </w:rPr>
        <w:t>, p.</w:t>
      </w:r>
      <w:r w:rsidR="00DA6BBD" w:rsidRPr="0059317C">
        <w:rPr>
          <w:rFonts w:eastAsia="Times New Roman"/>
          <w:szCs w:val="20"/>
          <w:lang w:val="en-US"/>
        </w:rPr>
        <w:t xml:space="preserve"> 2</w:t>
      </w:r>
      <w:r w:rsidR="00B65463" w:rsidRPr="0059317C">
        <w:rPr>
          <w:rFonts w:eastAsia="Times New Roman"/>
          <w:szCs w:val="20"/>
          <w:lang w:val="en-US"/>
        </w:rPr>
        <w:t>)</w:t>
      </w:r>
      <w:r w:rsidR="002A189D" w:rsidRPr="0059317C">
        <w:rPr>
          <w:rFonts w:eastAsia="Times New Roman"/>
          <w:szCs w:val="20"/>
          <w:lang w:val="en-US"/>
        </w:rPr>
        <w:t xml:space="preserve">, </w:t>
      </w:r>
      <w:r w:rsidR="00C43C1B" w:rsidRPr="0059317C">
        <w:rPr>
          <w:rFonts w:eastAsia="Times New Roman"/>
          <w:szCs w:val="20"/>
          <w:lang w:val="en-US"/>
        </w:rPr>
        <w:t>thin-section collections</w:t>
      </w:r>
      <w:r w:rsidR="003054B3" w:rsidRPr="0059317C">
        <w:rPr>
          <w:rFonts w:eastAsia="Times New Roman"/>
          <w:szCs w:val="20"/>
          <w:lang w:val="en-US"/>
        </w:rPr>
        <w:t xml:space="preserve"> of varying sizes</w:t>
      </w:r>
      <w:r w:rsidR="00C43C1B" w:rsidRPr="0059317C">
        <w:rPr>
          <w:rFonts w:eastAsia="Times New Roman"/>
          <w:szCs w:val="20"/>
          <w:lang w:val="en-US"/>
        </w:rPr>
        <w:t xml:space="preserve"> in Israel and abroad (e.g., </w:t>
      </w:r>
      <w:r w:rsidR="007C674E" w:rsidRPr="0059317C">
        <w:rPr>
          <w:rFonts w:eastAsia="Times New Roman"/>
          <w:szCs w:val="20"/>
          <w:lang w:val="en-US"/>
        </w:rPr>
        <w:t>(</w:t>
      </w:r>
      <w:r w:rsidR="007C674E">
        <w:rPr>
          <w:rFonts w:eastAsia="Times New Roman"/>
          <w:szCs w:val="20"/>
          <w:lang w:val="en-US"/>
        </w:rPr>
        <w:t>“</w:t>
      </w:r>
      <w:r w:rsidR="007C674E">
        <w:t>Daba Petrography</w:t>
      </w:r>
      <w:r w:rsidR="007C674E" w:rsidRPr="0059317C">
        <w:rPr>
          <w:rFonts w:eastAsia="Times New Roman"/>
          <w:szCs w:val="20"/>
          <w:lang w:val="en-US"/>
        </w:rPr>
        <w:t>,</w:t>
      </w:r>
      <w:r w:rsidR="007C674E">
        <w:t>”</w:t>
      </w:r>
      <w:r w:rsidR="00C43C1B" w:rsidRPr="0059317C">
        <w:rPr>
          <w:rFonts w:eastAsia="Times New Roman"/>
          <w:szCs w:val="20"/>
          <w:lang w:val="en-US"/>
        </w:rPr>
        <w:t xml:space="preserve"> </w:t>
      </w:r>
      <w:r w:rsidR="00393AF2" w:rsidRPr="0059317C">
        <w:rPr>
          <w:rFonts w:eastAsia="Times New Roman"/>
          <w:szCs w:val="20"/>
          <w:lang w:val="en-US"/>
        </w:rPr>
        <w:t>p</w:t>
      </w:r>
      <w:r w:rsidR="00386A65" w:rsidRPr="0059317C">
        <w:rPr>
          <w:rFonts w:eastAsia="Times New Roman"/>
          <w:szCs w:val="20"/>
          <w:lang w:val="en-US"/>
        </w:rPr>
        <w:t>p</w:t>
      </w:r>
      <w:r w:rsidR="00393AF2" w:rsidRPr="0059317C">
        <w:rPr>
          <w:rFonts w:eastAsia="Times New Roman"/>
          <w:szCs w:val="20"/>
          <w:lang w:val="en-US"/>
        </w:rPr>
        <w:t>. 71</w:t>
      </w:r>
      <w:r w:rsidR="00386A65" w:rsidRPr="0059317C">
        <w:rPr>
          <w:rFonts w:eastAsia="Times New Roman"/>
          <w:szCs w:val="20"/>
          <w:lang w:val="en-US"/>
        </w:rPr>
        <w:t xml:space="preserve">-72, </w:t>
      </w:r>
      <w:r w:rsidR="00386A65" w:rsidRPr="0059317C">
        <w:rPr>
          <w:rFonts w:eastAsia="Times New Roman"/>
          <w:i/>
          <w:szCs w:val="20"/>
          <w:lang w:val="en-US"/>
        </w:rPr>
        <w:t>passim</w:t>
      </w:r>
      <w:r w:rsidR="00386A65" w:rsidRPr="0059317C">
        <w:rPr>
          <w:rFonts w:eastAsia="Times New Roman"/>
          <w:szCs w:val="20"/>
          <w:lang w:val="en-US"/>
        </w:rPr>
        <w:t>)</w:t>
      </w:r>
      <w:r w:rsidR="00B00841" w:rsidRPr="0059317C">
        <w:rPr>
          <w:rFonts w:eastAsia="Times New Roman"/>
          <w:szCs w:val="20"/>
          <w:lang w:val="en-US"/>
        </w:rPr>
        <w:t xml:space="preserve">, and </w:t>
      </w:r>
      <w:r w:rsidR="003054B3" w:rsidRPr="0059317C">
        <w:rPr>
          <w:rFonts w:eastAsia="Times New Roman"/>
          <w:szCs w:val="20"/>
          <w:lang w:val="en-US"/>
        </w:rPr>
        <w:t xml:space="preserve">an indeterminate number of </w:t>
      </w:r>
      <w:r w:rsidR="00B00841" w:rsidRPr="0059317C">
        <w:rPr>
          <w:rFonts w:eastAsia="Times New Roman"/>
          <w:szCs w:val="20"/>
          <w:lang w:val="en-US"/>
        </w:rPr>
        <w:t xml:space="preserve">unpublished </w:t>
      </w:r>
      <w:r w:rsidR="003054B3" w:rsidRPr="0059317C">
        <w:rPr>
          <w:rFonts w:eastAsia="Times New Roman"/>
          <w:szCs w:val="20"/>
          <w:lang w:val="en-US"/>
        </w:rPr>
        <w:t>thin-sections from on-going excavations</w:t>
      </w:r>
      <w:r w:rsidR="002A189D" w:rsidRPr="0059317C">
        <w:rPr>
          <w:rFonts w:eastAsia="Times New Roman"/>
          <w:szCs w:val="20"/>
          <w:lang w:val="en-US"/>
        </w:rPr>
        <w:t xml:space="preserve"> </w:t>
      </w:r>
      <w:r w:rsidR="00B65463" w:rsidRPr="0059317C">
        <w:rPr>
          <w:rFonts w:eastAsia="Times New Roman"/>
          <w:szCs w:val="20"/>
          <w:lang w:val="en-US"/>
        </w:rPr>
        <w:t>were examined petrographically in defining 11 petrographic regional groups</w:t>
      </w:r>
      <w:r w:rsidR="00303CB7" w:rsidRPr="0059317C">
        <w:rPr>
          <w:rFonts w:eastAsia="Times New Roman"/>
          <w:szCs w:val="20"/>
          <w:lang w:val="en-US"/>
        </w:rPr>
        <w:t xml:space="preserve"> </w:t>
      </w:r>
      <w:r w:rsidR="00B65463" w:rsidRPr="0059317C">
        <w:rPr>
          <w:rFonts w:eastAsia="Times New Roman"/>
          <w:szCs w:val="20"/>
          <w:lang w:val="en-US"/>
        </w:rPr>
        <w:t xml:space="preserve">for </w:t>
      </w:r>
      <w:r w:rsidR="0020121E" w:rsidRPr="0059317C">
        <w:rPr>
          <w:rFonts w:eastAsia="Times New Roman"/>
          <w:szCs w:val="20"/>
          <w:lang w:val="en-US"/>
        </w:rPr>
        <w:t>the Levant</w:t>
      </w:r>
      <w:r w:rsidR="00DA6BBD" w:rsidRPr="0059317C">
        <w:rPr>
          <w:rFonts w:eastAsia="Times New Roman"/>
          <w:szCs w:val="20"/>
          <w:lang w:val="en-US"/>
        </w:rPr>
        <w:t xml:space="preserve"> (</w:t>
      </w:r>
      <w:r w:rsidR="007C674E">
        <w:rPr>
          <w:rFonts w:eastAsia="Times New Roman"/>
          <w:szCs w:val="20"/>
          <w:lang w:val="en-US"/>
        </w:rPr>
        <w:t>“</w:t>
      </w:r>
      <w:r w:rsidR="007C674E">
        <w:t>Daba Petrography</w:t>
      </w:r>
      <w:r w:rsidR="007C674E" w:rsidRPr="0059317C">
        <w:rPr>
          <w:rFonts w:eastAsia="Times New Roman"/>
          <w:szCs w:val="20"/>
          <w:lang w:val="en-US"/>
        </w:rPr>
        <w:t>,</w:t>
      </w:r>
      <w:r w:rsidR="007C674E">
        <w:t>”</w:t>
      </w:r>
      <w:r w:rsidR="00DA6BBD" w:rsidRPr="0059317C">
        <w:rPr>
          <w:rFonts w:eastAsia="Times New Roman"/>
          <w:szCs w:val="20"/>
          <w:lang w:val="en-US"/>
        </w:rPr>
        <w:t xml:space="preserve"> Fig. 1</w:t>
      </w:r>
      <w:r w:rsidR="000711CF" w:rsidRPr="0059317C">
        <w:rPr>
          <w:rFonts w:eastAsia="Times New Roman"/>
          <w:szCs w:val="20"/>
          <w:lang w:val="en-US"/>
        </w:rPr>
        <w:t xml:space="preserve">; </w:t>
      </w:r>
      <w:r w:rsidR="003106F5" w:rsidRPr="00AE7DA1">
        <w:rPr>
          <w:i/>
          <w:lang w:val="en-US"/>
        </w:rPr>
        <w:t xml:space="preserve">Inscribed </w:t>
      </w:r>
      <w:r w:rsidR="003106F5">
        <w:rPr>
          <w:i/>
          <w:lang w:val="en-US"/>
        </w:rPr>
        <w:t>i</w:t>
      </w:r>
      <w:r w:rsidR="003106F5" w:rsidRPr="00AE7DA1">
        <w:rPr>
          <w:i/>
          <w:lang w:val="en-US"/>
        </w:rPr>
        <w:t>n Clay</w:t>
      </w:r>
      <w:r w:rsidR="000711CF" w:rsidRPr="0059317C">
        <w:rPr>
          <w:rFonts w:eastAsia="Times New Roman"/>
          <w:szCs w:val="20"/>
          <w:lang w:val="en-US"/>
        </w:rPr>
        <w:t>, p. 21)</w:t>
      </w:r>
      <w:r w:rsidR="00D56F1B" w:rsidRPr="0059317C">
        <w:rPr>
          <w:rFonts w:eastAsia="Times New Roman"/>
          <w:szCs w:val="20"/>
          <w:lang w:val="en-US"/>
        </w:rPr>
        <w:t xml:space="preserve">.  </w:t>
      </w:r>
      <w:r w:rsidR="00A96E88" w:rsidRPr="0059317C">
        <w:rPr>
          <w:rFonts w:eastAsia="Times New Roman"/>
          <w:szCs w:val="20"/>
          <w:lang w:val="en-US"/>
        </w:rPr>
        <w:t xml:space="preserve">Since the </w:t>
      </w:r>
      <w:r w:rsidR="00A96E88" w:rsidRPr="0059317C">
        <w:rPr>
          <w:rFonts w:eastAsia="Times New Roman"/>
          <w:szCs w:val="20"/>
          <w:lang w:val="en-US"/>
        </w:rPr>
        <w:lastRenderedPageBreak/>
        <w:t xml:space="preserve">comparative material is largely unpublished or not described in detail in Goren’s </w:t>
      </w:r>
      <w:r w:rsidR="00C2003C">
        <w:rPr>
          <w:rFonts w:eastAsia="Times New Roman"/>
          <w:szCs w:val="20"/>
          <w:lang w:val="en-US"/>
        </w:rPr>
        <w:t xml:space="preserve">or other </w:t>
      </w:r>
      <w:r w:rsidR="00A96E88" w:rsidRPr="0059317C">
        <w:rPr>
          <w:rFonts w:eastAsia="Times New Roman"/>
          <w:szCs w:val="20"/>
          <w:lang w:val="en-US"/>
        </w:rPr>
        <w:t>publication</w:t>
      </w:r>
      <w:r w:rsidR="003054B3" w:rsidRPr="0059317C">
        <w:rPr>
          <w:rFonts w:eastAsia="Times New Roman"/>
          <w:szCs w:val="20"/>
          <w:lang w:val="en-US"/>
        </w:rPr>
        <w:t>s</w:t>
      </w:r>
      <w:r w:rsidR="00A96E88" w:rsidRPr="0059317C">
        <w:rPr>
          <w:rFonts w:eastAsia="Times New Roman"/>
          <w:szCs w:val="20"/>
          <w:lang w:val="en-US"/>
        </w:rPr>
        <w:t xml:space="preserve">, the reader is asked </w:t>
      </w:r>
      <w:r w:rsidR="003054B3" w:rsidRPr="0059317C">
        <w:rPr>
          <w:rFonts w:eastAsia="Times New Roman"/>
          <w:szCs w:val="20"/>
          <w:lang w:val="en-US"/>
        </w:rPr>
        <w:t xml:space="preserve">to accept his interpretation of the thin-sections. </w:t>
      </w:r>
      <w:r w:rsidR="007520D8" w:rsidRPr="0059317C">
        <w:rPr>
          <w:rFonts w:eastAsia="Times New Roman"/>
          <w:szCs w:val="20"/>
          <w:lang w:val="en-US"/>
        </w:rPr>
        <w:t xml:space="preserve"> As such,</w:t>
      </w:r>
      <w:r w:rsidR="003054B3" w:rsidRPr="0059317C">
        <w:rPr>
          <w:rFonts w:eastAsia="Times New Roman"/>
          <w:szCs w:val="20"/>
          <w:lang w:val="en-US"/>
        </w:rPr>
        <w:t xml:space="preserve"> </w:t>
      </w:r>
      <w:r w:rsidR="007520D8" w:rsidRPr="0059317C">
        <w:rPr>
          <w:rFonts w:eastAsia="Times New Roman"/>
          <w:szCs w:val="20"/>
          <w:lang w:val="en-US"/>
        </w:rPr>
        <w:t xml:space="preserve">Goren’s results are based on </w:t>
      </w:r>
      <w:r w:rsidR="003054B3" w:rsidRPr="0059317C">
        <w:rPr>
          <w:rFonts w:eastAsia="Times New Roman"/>
          <w:szCs w:val="20"/>
          <w:lang w:val="en-US"/>
        </w:rPr>
        <w:t>a relatively</w:t>
      </w:r>
      <w:r w:rsidR="00D56F1B" w:rsidRPr="0059317C">
        <w:rPr>
          <w:rFonts w:eastAsia="Times New Roman"/>
          <w:szCs w:val="20"/>
          <w:lang w:val="en-US"/>
        </w:rPr>
        <w:t xml:space="preserve"> small</w:t>
      </w:r>
      <w:r w:rsidR="007520D8" w:rsidRPr="0059317C">
        <w:rPr>
          <w:rFonts w:eastAsia="Times New Roman"/>
          <w:szCs w:val="20"/>
          <w:lang w:val="en-US"/>
        </w:rPr>
        <w:t>, ill-defined</w:t>
      </w:r>
      <w:r w:rsidR="00D56F1B" w:rsidRPr="0059317C">
        <w:rPr>
          <w:rFonts w:eastAsia="Times New Roman"/>
          <w:szCs w:val="20"/>
          <w:lang w:val="en-US"/>
        </w:rPr>
        <w:t xml:space="preserve"> dataset</w:t>
      </w:r>
      <w:r w:rsidR="000711CF" w:rsidRPr="0059317C">
        <w:rPr>
          <w:rFonts w:eastAsia="Times New Roman"/>
          <w:szCs w:val="20"/>
          <w:lang w:val="en-US"/>
        </w:rPr>
        <w:t xml:space="preserve">—the latter being </w:t>
      </w:r>
      <w:r w:rsidR="003A635E" w:rsidRPr="0059317C">
        <w:rPr>
          <w:rFonts w:eastAsia="Times New Roman"/>
          <w:szCs w:val="20"/>
          <w:lang w:val="en-US"/>
        </w:rPr>
        <w:t>the essential prerequisite for any statistically reliable scientific study</w:t>
      </w:r>
      <w:r w:rsidR="000711CF" w:rsidRPr="0059317C">
        <w:rPr>
          <w:rFonts w:eastAsia="Times New Roman"/>
          <w:szCs w:val="20"/>
          <w:lang w:val="en-US"/>
        </w:rPr>
        <w:t>—</w:t>
      </w:r>
      <w:r w:rsidR="00D56F1B" w:rsidRPr="0059317C">
        <w:rPr>
          <w:rFonts w:eastAsia="Times New Roman"/>
          <w:szCs w:val="20"/>
          <w:lang w:val="en-US"/>
        </w:rPr>
        <w:t xml:space="preserve">for </w:t>
      </w:r>
      <w:r w:rsidR="003A635E" w:rsidRPr="0059317C">
        <w:rPr>
          <w:rFonts w:eastAsia="Times New Roman"/>
          <w:szCs w:val="20"/>
          <w:lang w:val="en-US"/>
        </w:rPr>
        <w:t>such</w:t>
      </w:r>
      <w:r w:rsidR="00B65463" w:rsidRPr="0059317C">
        <w:rPr>
          <w:rFonts w:eastAsia="Times New Roman"/>
          <w:szCs w:val="20"/>
          <w:lang w:val="en-US"/>
        </w:rPr>
        <w:t xml:space="preserve"> </w:t>
      </w:r>
      <w:r w:rsidR="003A635E" w:rsidRPr="0059317C">
        <w:rPr>
          <w:rFonts w:eastAsia="Times New Roman"/>
          <w:szCs w:val="20"/>
          <w:lang w:val="en-US"/>
        </w:rPr>
        <w:t xml:space="preserve">a </w:t>
      </w:r>
      <w:r w:rsidR="00B65463" w:rsidRPr="0059317C">
        <w:rPr>
          <w:rFonts w:eastAsia="Times New Roman"/>
          <w:szCs w:val="20"/>
          <w:lang w:val="en-US"/>
        </w:rPr>
        <w:t xml:space="preserve">large </w:t>
      </w:r>
      <w:r w:rsidR="00571EBE" w:rsidRPr="0059317C">
        <w:rPr>
          <w:rFonts w:eastAsia="Times New Roman"/>
          <w:szCs w:val="20"/>
          <w:lang w:val="en-US"/>
        </w:rPr>
        <w:t xml:space="preserve">geographical </w:t>
      </w:r>
      <w:r w:rsidR="00B65463" w:rsidRPr="0059317C">
        <w:rPr>
          <w:rFonts w:eastAsia="Times New Roman"/>
          <w:szCs w:val="20"/>
          <w:lang w:val="en-US"/>
        </w:rPr>
        <w:t>area</w:t>
      </w:r>
      <w:r w:rsidR="00AC6A92" w:rsidRPr="0059317C">
        <w:rPr>
          <w:rFonts w:eastAsia="Times New Roman"/>
          <w:szCs w:val="20"/>
          <w:lang w:val="en-US"/>
        </w:rPr>
        <w:t xml:space="preserve"> (ca. 325,000 km</w:t>
      </w:r>
      <w:r w:rsidR="00AC6A92" w:rsidRPr="0059317C">
        <w:rPr>
          <w:rFonts w:eastAsia="Times New Roman"/>
          <w:szCs w:val="20"/>
          <w:vertAlign w:val="superscript"/>
          <w:lang w:val="en-US"/>
        </w:rPr>
        <w:t>2</w:t>
      </w:r>
      <w:r w:rsidR="00671F00" w:rsidRPr="0059317C">
        <w:rPr>
          <w:rFonts w:eastAsia="Times New Roman"/>
          <w:szCs w:val="20"/>
          <w:lang w:val="en-US"/>
        </w:rPr>
        <w:t xml:space="preserve"> or about 125,500 mi</w:t>
      </w:r>
      <w:r w:rsidR="00671F00" w:rsidRPr="0059317C">
        <w:rPr>
          <w:rFonts w:eastAsia="Times New Roman"/>
          <w:szCs w:val="20"/>
          <w:vertAlign w:val="superscript"/>
          <w:lang w:val="en-US"/>
        </w:rPr>
        <w:t>2</w:t>
      </w:r>
      <w:r w:rsidR="00671F00" w:rsidRPr="0059317C">
        <w:rPr>
          <w:rFonts w:eastAsia="Times New Roman"/>
          <w:szCs w:val="20"/>
          <w:lang w:val="en-US"/>
        </w:rPr>
        <w:t>, nearly the size of California</w:t>
      </w:r>
      <w:r w:rsidR="00AC6A92" w:rsidRPr="0059317C">
        <w:rPr>
          <w:rFonts w:eastAsia="Times New Roman"/>
          <w:szCs w:val="20"/>
          <w:lang w:val="en-US"/>
        </w:rPr>
        <w:t>)</w:t>
      </w:r>
      <w:r w:rsidR="00B65463" w:rsidRPr="0059317C">
        <w:rPr>
          <w:rFonts w:eastAsia="Times New Roman"/>
          <w:szCs w:val="20"/>
          <w:lang w:val="en-US"/>
        </w:rPr>
        <w:t>.</w:t>
      </w:r>
      <w:r w:rsidR="00671F00" w:rsidRPr="0059317C">
        <w:rPr>
          <w:rFonts w:eastAsia="Times New Roman"/>
          <w:szCs w:val="20"/>
          <w:lang w:val="en-US"/>
        </w:rPr>
        <w:t xml:space="preserve">  </w:t>
      </w:r>
      <w:r w:rsidR="00E6570C" w:rsidRPr="0059317C">
        <w:rPr>
          <w:rFonts w:eastAsia="Times New Roman"/>
          <w:szCs w:val="20"/>
          <w:lang w:val="en-US"/>
        </w:rPr>
        <w:t>Moreover, i</w:t>
      </w:r>
      <w:r w:rsidR="00671F00" w:rsidRPr="0059317C">
        <w:rPr>
          <w:rFonts w:eastAsia="Times New Roman"/>
          <w:szCs w:val="20"/>
          <w:lang w:val="en-US"/>
        </w:rPr>
        <w:t>nland areas</w:t>
      </w:r>
      <w:r w:rsidR="0041321A" w:rsidRPr="0059317C">
        <w:rPr>
          <w:rFonts w:eastAsia="Times New Roman"/>
          <w:szCs w:val="20"/>
          <w:lang w:val="en-US"/>
        </w:rPr>
        <w:t xml:space="preserve"> </w:t>
      </w:r>
      <w:r w:rsidR="007520D8" w:rsidRPr="0059317C">
        <w:rPr>
          <w:rFonts w:eastAsia="Times New Roman"/>
          <w:szCs w:val="20"/>
          <w:lang w:val="en-US"/>
        </w:rPr>
        <w:t>w</w:t>
      </w:r>
      <w:r w:rsidR="000711CF" w:rsidRPr="0059317C">
        <w:rPr>
          <w:rFonts w:eastAsia="Times New Roman"/>
          <w:szCs w:val="20"/>
          <w:lang w:val="en-US"/>
        </w:rPr>
        <w:t>hich</w:t>
      </w:r>
      <w:r w:rsidR="00E6570C" w:rsidRPr="0059317C">
        <w:rPr>
          <w:rFonts w:eastAsia="Times New Roman"/>
          <w:szCs w:val="20"/>
          <w:lang w:val="en-US"/>
        </w:rPr>
        <w:t xml:space="preserve"> might be important for</w:t>
      </w:r>
      <w:r w:rsidR="0041321A" w:rsidRPr="0059317C">
        <w:rPr>
          <w:rFonts w:eastAsia="Times New Roman"/>
          <w:szCs w:val="20"/>
          <w:lang w:val="en-US"/>
        </w:rPr>
        <w:t xml:space="preserve"> Syria, </w:t>
      </w:r>
      <w:r w:rsidR="00610D0E">
        <w:rPr>
          <w:rFonts w:eastAsia="Times New Roman"/>
          <w:szCs w:val="20"/>
          <w:lang w:val="en-US"/>
        </w:rPr>
        <w:t>Lebanon</w:t>
      </w:r>
      <w:r w:rsidR="00A20B00">
        <w:rPr>
          <w:rFonts w:eastAsia="Times New Roman"/>
          <w:szCs w:val="20"/>
          <w:lang w:val="en-US"/>
        </w:rPr>
        <w:t xml:space="preserve">, </w:t>
      </w:r>
      <w:r w:rsidR="0041321A" w:rsidRPr="0059317C">
        <w:rPr>
          <w:rFonts w:eastAsia="Times New Roman"/>
          <w:szCs w:val="20"/>
          <w:lang w:val="en-US"/>
        </w:rPr>
        <w:t>Jordan</w:t>
      </w:r>
      <w:r w:rsidR="000758B3">
        <w:rPr>
          <w:rFonts w:eastAsia="Times New Roman"/>
          <w:szCs w:val="20"/>
          <w:lang w:val="en-US"/>
        </w:rPr>
        <w:t>, Palestine and Israel</w:t>
      </w:r>
      <w:r w:rsidR="0041321A" w:rsidRPr="0059317C">
        <w:rPr>
          <w:rFonts w:eastAsia="Times New Roman"/>
          <w:szCs w:val="20"/>
          <w:lang w:val="en-US"/>
        </w:rPr>
        <w:t>, except for the West Bank,</w:t>
      </w:r>
      <w:r w:rsidR="00671F00" w:rsidRPr="0059317C">
        <w:rPr>
          <w:rFonts w:eastAsia="Times New Roman"/>
          <w:szCs w:val="20"/>
          <w:lang w:val="en-US"/>
        </w:rPr>
        <w:t xml:space="preserve"> were omi</w:t>
      </w:r>
      <w:r w:rsidR="0041321A" w:rsidRPr="0059317C">
        <w:rPr>
          <w:rFonts w:eastAsia="Times New Roman"/>
          <w:szCs w:val="20"/>
          <w:lang w:val="en-US"/>
        </w:rPr>
        <w:t xml:space="preserve">tted from the </w:t>
      </w:r>
      <w:r w:rsidR="0075017A" w:rsidRPr="0059317C">
        <w:rPr>
          <w:rFonts w:eastAsia="Times New Roman"/>
          <w:szCs w:val="20"/>
          <w:lang w:val="en-US"/>
        </w:rPr>
        <w:t>Levantine</w:t>
      </w:r>
      <w:r w:rsidR="0041321A" w:rsidRPr="0059317C">
        <w:rPr>
          <w:rFonts w:eastAsia="Times New Roman"/>
          <w:szCs w:val="20"/>
          <w:lang w:val="en-US"/>
        </w:rPr>
        <w:t xml:space="preserve"> groups.</w:t>
      </w:r>
      <w:r w:rsidR="00E6570C" w:rsidRPr="0059317C">
        <w:rPr>
          <w:rFonts w:eastAsia="Times New Roman"/>
          <w:szCs w:val="20"/>
          <w:lang w:val="en-US"/>
        </w:rPr>
        <w:t xml:space="preserve">  It is not known h</w:t>
      </w:r>
      <w:r w:rsidR="00A06A02" w:rsidRPr="0059317C">
        <w:rPr>
          <w:rFonts w:eastAsia="Times New Roman"/>
          <w:szCs w:val="20"/>
          <w:lang w:val="en-US"/>
        </w:rPr>
        <w:t xml:space="preserve">ow many samples were assigned to each </w:t>
      </w:r>
      <w:r w:rsidR="0075017A" w:rsidRPr="0059317C">
        <w:rPr>
          <w:rFonts w:eastAsia="Times New Roman"/>
          <w:szCs w:val="20"/>
          <w:lang w:val="en-US"/>
        </w:rPr>
        <w:t>Levantine</w:t>
      </w:r>
      <w:r w:rsidR="00A06A02" w:rsidRPr="0059317C">
        <w:rPr>
          <w:rFonts w:eastAsia="Times New Roman"/>
          <w:szCs w:val="20"/>
          <w:lang w:val="en-US"/>
        </w:rPr>
        <w:t xml:space="preserve"> group.</w:t>
      </w:r>
    </w:p>
    <w:p w14:paraId="48561A35" w14:textId="77777777" w:rsidR="00697FEB" w:rsidRPr="0059317C" w:rsidRDefault="00697FEB" w:rsidP="00B65463">
      <w:pPr>
        <w:widowControl w:val="0"/>
        <w:autoSpaceDE w:val="0"/>
        <w:autoSpaceDN w:val="0"/>
        <w:adjustRightInd w:val="0"/>
        <w:spacing w:after="0" w:line="240" w:lineRule="auto"/>
        <w:rPr>
          <w:rFonts w:eastAsia="Times New Roman"/>
          <w:szCs w:val="20"/>
          <w:lang w:val="en-US"/>
        </w:rPr>
      </w:pPr>
    </w:p>
    <w:p w14:paraId="2A3847BC" w14:textId="77777777" w:rsidR="00B65463" w:rsidRPr="0059317C" w:rsidRDefault="00550EBE" w:rsidP="00B65463">
      <w:pPr>
        <w:widowControl w:val="0"/>
        <w:autoSpaceDE w:val="0"/>
        <w:autoSpaceDN w:val="0"/>
        <w:adjustRightInd w:val="0"/>
        <w:spacing w:after="0" w:line="240" w:lineRule="auto"/>
        <w:rPr>
          <w:rFonts w:eastAsia="Times New Roman"/>
          <w:szCs w:val="20"/>
          <w:lang w:val="en-US"/>
        </w:rPr>
      </w:pPr>
      <w:r w:rsidRPr="0059317C">
        <w:rPr>
          <w:rFonts w:eastAsia="Times New Roman"/>
          <w:szCs w:val="20"/>
          <w:lang w:val="en-US"/>
        </w:rPr>
        <w:t>3</w:t>
      </w:r>
      <w:r w:rsidR="00B65463" w:rsidRPr="0059317C">
        <w:rPr>
          <w:rFonts w:eastAsia="Times New Roman"/>
          <w:szCs w:val="20"/>
          <w:lang w:val="en-US"/>
        </w:rPr>
        <w:t>) The primary</w:t>
      </w:r>
      <w:r w:rsidR="00DD68DE" w:rsidRPr="0059317C">
        <w:rPr>
          <w:rFonts w:eastAsia="Times New Roman"/>
          <w:szCs w:val="20"/>
          <w:lang w:val="en-US"/>
        </w:rPr>
        <w:t xml:space="preserve"> archaeological</w:t>
      </w:r>
      <w:r w:rsidR="00B65463" w:rsidRPr="0059317C">
        <w:rPr>
          <w:rFonts w:eastAsia="Times New Roman"/>
          <w:szCs w:val="20"/>
          <w:lang w:val="en-US"/>
        </w:rPr>
        <w:t xml:space="preserve"> data for the samples </w:t>
      </w:r>
      <w:r w:rsidR="00722D1D" w:rsidRPr="0059317C">
        <w:rPr>
          <w:rFonts w:eastAsia="Times New Roman"/>
          <w:szCs w:val="20"/>
          <w:lang w:val="en-US"/>
        </w:rPr>
        <w:t xml:space="preserve">assigned to each </w:t>
      </w:r>
      <w:r w:rsidR="0075017A" w:rsidRPr="0059317C">
        <w:rPr>
          <w:rFonts w:eastAsia="Times New Roman"/>
          <w:szCs w:val="20"/>
          <w:lang w:val="en-US"/>
        </w:rPr>
        <w:t>Levantine</w:t>
      </w:r>
      <w:r w:rsidR="00722D1D" w:rsidRPr="0059317C">
        <w:rPr>
          <w:rFonts w:eastAsia="Times New Roman"/>
          <w:szCs w:val="20"/>
          <w:lang w:val="en-US"/>
        </w:rPr>
        <w:t xml:space="preserve"> group </w:t>
      </w:r>
      <w:r w:rsidR="002E24A0" w:rsidRPr="0059317C">
        <w:rPr>
          <w:rFonts w:eastAsia="Times New Roman"/>
          <w:szCs w:val="20"/>
          <w:lang w:val="en-US"/>
        </w:rPr>
        <w:t>we</w:t>
      </w:r>
      <w:r w:rsidR="00B65463" w:rsidRPr="0059317C">
        <w:rPr>
          <w:rFonts w:eastAsia="Times New Roman"/>
          <w:szCs w:val="20"/>
          <w:lang w:val="en-US"/>
        </w:rPr>
        <w:t xml:space="preserve">re not provided, including site name, pottery type and description (including </w:t>
      </w:r>
      <w:r w:rsidR="00AF1137" w:rsidRPr="0059317C">
        <w:rPr>
          <w:rFonts w:eastAsia="Times New Roman"/>
          <w:szCs w:val="20"/>
          <w:lang w:val="en-US"/>
        </w:rPr>
        <w:t xml:space="preserve">evidence of production technique, </w:t>
      </w:r>
      <w:r w:rsidR="00242317" w:rsidRPr="0059317C">
        <w:rPr>
          <w:rFonts w:eastAsia="Times New Roman"/>
          <w:szCs w:val="20"/>
          <w:lang w:val="en-US"/>
        </w:rPr>
        <w:t xml:space="preserve">Munsell </w:t>
      </w:r>
      <w:r w:rsidR="00B65463" w:rsidRPr="0059317C">
        <w:rPr>
          <w:rFonts w:eastAsia="Times New Roman"/>
          <w:szCs w:val="20"/>
          <w:lang w:val="en-US"/>
        </w:rPr>
        <w:t>fabric color</w:t>
      </w:r>
      <w:r w:rsidR="00242317" w:rsidRPr="0059317C">
        <w:rPr>
          <w:rFonts w:eastAsia="Times New Roman"/>
          <w:szCs w:val="20"/>
          <w:lang w:val="en-US"/>
        </w:rPr>
        <w:t>s of surface, sub-surface and core fabric</w:t>
      </w:r>
      <w:r w:rsidR="006033B6" w:rsidRPr="0059317C">
        <w:rPr>
          <w:rFonts w:eastAsia="Times New Roman"/>
          <w:szCs w:val="20"/>
          <w:lang w:val="en-US"/>
        </w:rPr>
        <w:t xml:space="preserve"> related to the original firing temperature</w:t>
      </w:r>
      <w:r w:rsidR="00B65463" w:rsidRPr="0059317C">
        <w:rPr>
          <w:rFonts w:eastAsia="Times New Roman"/>
          <w:szCs w:val="20"/>
          <w:lang w:val="en-US"/>
        </w:rPr>
        <w:t>, surface treatment</w:t>
      </w:r>
      <w:r w:rsidR="00242317" w:rsidRPr="0059317C">
        <w:rPr>
          <w:rFonts w:eastAsia="Times New Roman"/>
          <w:szCs w:val="20"/>
          <w:lang w:val="en-US"/>
        </w:rPr>
        <w:t xml:space="preserve"> </w:t>
      </w:r>
      <w:r w:rsidR="0074394C" w:rsidRPr="0059317C">
        <w:rPr>
          <w:rFonts w:eastAsia="Times New Roman"/>
          <w:szCs w:val="20"/>
          <w:lang w:val="en-US"/>
        </w:rPr>
        <w:t>such as</w:t>
      </w:r>
      <w:r w:rsidR="00B65463" w:rsidRPr="0059317C">
        <w:rPr>
          <w:rFonts w:eastAsia="Times New Roman"/>
          <w:szCs w:val="20"/>
          <w:lang w:val="en-US"/>
        </w:rPr>
        <w:t xml:space="preserve"> slip</w:t>
      </w:r>
      <w:r w:rsidR="0074394C" w:rsidRPr="0059317C">
        <w:rPr>
          <w:rFonts w:eastAsia="Times New Roman"/>
          <w:szCs w:val="20"/>
          <w:lang w:val="en-US"/>
        </w:rPr>
        <w:t xml:space="preserve">, </w:t>
      </w:r>
      <w:r w:rsidR="00B65463" w:rsidRPr="0059317C">
        <w:rPr>
          <w:rFonts w:eastAsia="Times New Roman"/>
          <w:szCs w:val="20"/>
          <w:lang w:val="en-US"/>
        </w:rPr>
        <w:t>paint</w:t>
      </w:r>
      <w:r w:rsidR="0074394C" w:rsidRPr="0059317C">
        <w:rPr>
          <w:rFonts w:eastAsia="Times New Roman"/>
          <w:szCs w:val="20"/>
          <w:lang w:val="en-US"/>
        </w:rPr>
        <w:t xml:space="preserve"> and/or burnishing</w:t>
      </w:r>
      <w:r w:rsidR="00B65463" w:rsidRPr="0059317C">
        <w:rPr>
          <w:rFonts w:eastAsia="Times New Roman"/>
          <w:szCs w:val="20"/>
          <w:lang w:val="en-US"/>
        </w:rPr>
        <w:t xml:space="preserve">, </w:t>
      </w:r>
      <w:r w:rsidR="00303E6C" w:rsidRPr="0059317C">
        <w:rPr>
          <w:rFonts w:eastAsia="Times New Roman"/>
          <w:szCs w:val="20"/>
          <w:lang w:val="en-US"/>
        </w:rPr>
        <w:t xml:space="preserve">any design or </w:t>
      </w:r>
      <w:r w:rsidR="00B65463" w:rsidRPr="0059317C">
        <w:rPr>
          <w:rFonts w:eastAsia="Times New Roman"/>
          <w:szCs w:val="20"/>
          <w:lang w:val="en-US"/>
        </w:rPr>
        <w:t xml:space="preserve">inscription, etc.), archaeological locus, date, and present </w:t>
      </w:r>
      <w:r w:rsidR="00303E6C" w:rsidRPr="0059317C">
        <w:rPr>
          <w:rFonts w:eastAsia="Times New Roman"/>
          <w:szCs w:val="20"/>
          <w:lang w:val="en-US"/>
        </w:rPr>
        <w:t xml:space="preserve">storage </w:t>
      </w:r>
      <w:r w:rsidR="00B65463" w:rsidRPr="0059317C">
        <w:rPr>
          <w:rFonts w:eastAsia="Times New Roman"/>
          <w:szCs w:val="20"/>
          <w:lang w:val="en-US"/>
        </w:rPr>
        <w:t xml:space="preserve">location. </w:t>
      </w:r>
      <w:r w:rsidR="00242317" w:rsidRPr="0059317C">
        <w:rPr>
          <w:rFonts w:eastAsia="Times New Roman"/>
          <w:szCs w:val="20"/>
          <w:lang w:val="en-US"/>
        </w:rPr>
        <w:t xml:space="preserve"> </w:t>
      </w:r>
      <w:r w:rsidR="00F52CC2" w:rsidRPr="0059317C">
        <w:rPr>
          <w:rFonts w:eastAsia="Times New Roman"/>
          <w:szCs w:val="20"/>
          <w:lang w:val="en-US"/>
        </w:rPr>
        <w:t>Such n</w:t>
      </w:r>
      <w:r w:rsidR="00242317" w:rsidRPr="0059317C">
        <w:rPr>
          <w:rFonts w:eastAsia="Times New Roman"/>
          <w:szCs w:val="20"/>
          <w:lang w:val="en-US"/>
        </w:rPr>
        <w:t xml:space="preserve">on-petrographic </w:t>
      </w:r>
      <w:r w:rsidR="00F52CC2" w:rsidRPr="0059317C">
        <w:rPr>
          <w:rFonts w:eastAsia="Times New Roman"/>
          <w:szCs w:val="20"/>
          <w:lang w:val="en-US"/>
        </w:rPr>
        <w:t xml:space="preserve">information is important in </w:t>
      </w:r>
      <w:r w:rsidR="003A091B" w:rsidRPr="0059317C">
        <w:rPr>
          <w:rFonts w:eastAsia="Times New Roman"/>
          <w:szCs w:val="20"/>
          <w:lang w:val="en-US"/>
        </w:rPr>
        <w:t>relating the</w:t>
      </w:r>
      <w:r w:rsidR="00F52CC2" w:rsidRPr="0059317C">
        <w:rPr>
          <w:rFonts w:eastAsia="Times New Roman"/>
          <w:szCs w:val="20"/>
          <w:lang w:val="en-US"/>
        </w:rPr>
        <w:t xml:space="preserve"> </w:t>
      </w:r>
      <w:r w:rsidR="00480920" w:rsidRPr="0059317C">
        <w:rPr>
          <w:rFonts w:eastAsia="Times New Roman"/>
          <w:szCs w:val="20"/>
          <w:lang w:val="en-US"/>
        </w:rPr>
        <w:t xml:space="preserve">technology and cultural affiliations </w:t>
      </w:r>
      <w:r w:rsidR="003A091B" w:rsidRPr="0059317C">
        <w:rPr>
          <w:rFonts w:eastAsia="Times New Roman"/>
          <w:szCs w:val="20"/>
          <w:lang w:val="en-US"/>
        </w:rPr>
        <w:t xml:space="preserve">of the pottery samples </w:t>
      </w:r>
      <w:r w:rsidR="00480920" w:rsidRPr="0059317C">
        <w:rPr>
          <w:rFonts w:eastAsia="Times New Roman"/>
          <w:szCs w:val="20"/>
          <w:lang w:val="en-US"/>
        </w:rPr>
        <w:t xml:space="preserve">to where </w:t>
      </w:r>
      <w:r w:rsidR="003A091B" w:rsidRPr="0059317C">
        <w:rPr>
          <w:rFonts w:eastAsia="Times New Roman"/>
          <w:szCs w:val="20"/>
          <w:lang w:val="en-US"/>
        </w:rPr>
        <w:t>they were</w:t>
      </w:r>
      <w:r w:rsidR="00480920" w:rsidRPr="0059317C">
        <w:rPr>
          <w:rFonts w:eastAsia="Times New Roman"/>
          <w:szCs w:val="20"/>
          <w:lang w:val="en-US"/>
        </w:rPr>
        <w:t xml:space="preserve"> made, i.e., </w:t>
      </w:r>
      <w:r w:rsidR="003A091B" w:rsidRPr="0059317C">
        <w:rPr>
          <w:rFonts w:eastAsia="Times New Roman"/>
          <w:szCs w:val="20"/>
          <w:lang w:val="en-US"/>
        </w:rPr>
        <w:t>the</w:t>
      </w:r>
      <w:r w:rsidR="00480920" w:rsidRPr="0059317C">
        <w:rPr>
          <w:rFonts w:eastAsia="Times New Roman"/>
          <w:szCs w:val="20"/>
          <w:lang w:val="en-US"/>
        </w:rPr>
        <w:t xml:space="preserve"> </w:t>
      </w:r>
      <w:r w:rsidR="00841FCA" w:rsidRPr="0059317C">
        <w:rPr>
          <w:rFonts w:eastAsia="Times New Roman"/>
          <w:szCs w:val="20"/>
          <w:lang w:val="en-US"/>
        </w:rPr>
        <w:t>provenance</w:t>
      </w:r>
      <w:r w:rsidR="003A091B" w:rsidRPr="0059317C">
        <w:rPr>
          <w:rFonts w:eastAsia="Times New Roman"/>
          <w:szCs w:val="20"/>
          <w:lang w:val="en-US"/>
        </w:rPr>
        <w:t>s</w:t>
      </w:r>
      <w:r w:rsidR="00784E27" w:rsidRPr="0059317C">
        <w:rPr>
          <w:rFonts w:eastAsia="Times New Roman"/>
          <w:szCs w:val="20"/>
          <w:lang w:val="en-US"/>
        </w:rPr>
        <w:t xml:space="preserve"> of their clays and inclusions</w:t>
      </w:r>
      <w:r w:rsidR="00480920" w:rsidRPr="0059317C">
        <w:rPr>
          <w:rFonts w:eastAsia="Times New Roman"/>
          <w:szCs w:val="20"/>
          <w:lang w:val="en-US"/>
        </w:rPr>
        <w:t>.</w:t>
      </w:r>
      <w:r w:rsidR="00E1376C" w:rsidRPr="0059317C">
        <w:t xml:space="preserve"> </w:t>
      </w:r>
    </w:p>
    <w:p w14:paraId="4C24C107" w14:textId="77777777" w:rsidR="00480920" w:rsidRPr="0059317C" w:rsidRDefault="00480920" w:rsidP="00B65463">
      <w:pPr>
        <w:widowControl w:val="0"/>
        <w:autoSpaceDE w:val="0"/>
        <w:autoSpaceDN w:val="0"/>
        <w:adjustRightInd w:val="0"/>
        <w:spacing w:after="0" w:line="240" w:lineRule="auto"/>
        <w:rPr>
          <w:rFonts w:eastAsia="Times New Roman"/>
          <w:szCs w:val="20"/>
          <w:lang w:val="en-US"/>
        </w:rPr>
      </w:pPr>
    </w:p>
    <w:p w14:paraId="390DF931" w14:textId="19584483" w:rsidR="00B353D3" w:rsidRPr="0059317C" w:rsidRDefault="00550EBE" w:rsidP="00B65463">
      <w:pPr>
        <w:widowControl w:val="0"/>
        <w:autoSpaceDE w:val="0"/>
        <w:autoSpaceDN w:val="0"/>
        <w:adjustRightInd w:val="0"/>
        <w:spacing w:after="0" w:line="240" w:lineRule="auto"/>
        <w:rPr>
          <w:rFonts w:eastAsia="Times New Roman"/>
          <w:szCs w:val="20"/>
          <w:lang w:val="en-US"/>
        </w:rPr>
      </w:pPr>
      <w:r w:rsidRPr="0059317C">
        <w:rPr>
          <w:rFonts w:eastAsia="Times New Roman"/>
          <w:szCs w:val="20"/>
          <w:lang w:val="en-US"/>
        </w:rPr>
        <w:t>4</w:t>
      </w:r>
      <w:r w:rsidR="00B65463" w:rsidRPr="0059317C">
        <w:rPr>
          <w:rFonts w:eastAsia="Times New Roman"/>
          <w:szCs w:val="20"/>
          <w:lang w:val="en-US"/>
        </w:rPr>
        <w:t xml:space="preserve">) The primary </w:t>
      </w:r>
      <w:r w:rsidR="00DD68DE" w:rsidRPr="0059317C">
        <w:rPr>
          <w:rFonts w:eastAsia="Times New Roman"/>
          <w:szCs w:val="20"/>
          <w:lang w:val="en-US"/>
        </w:rPr>
        <w:t xml:space="preserve">petrographic </w:t>
      </w:r>
      <w:r w:rsidR="00B65463" w:rsidRPr="0059317C">
        <w:rPr>
          <w:rFonts w:eastAsia="Times New Roman"/>
          <w:szCs w:val="20"/>
          <w:lang w:val="en-US"/>
        </w:rPr>
        <w:t xml:space="preserve">data for </w:t>
      </w:r>
      <w:r w:rsidR="00DD68DE" w:rsidRPr="0059317C">
        <w:rPr>
          <w:rFonts w:eastAsia="Times New Roman"/>
          <w:szCs w:val="20"/>
          <w:lang w:val="en-US"/>
        </w:rPr>
        <w:t xml:space="preserve">measured </w:t>
      </w:r>
      <w:r w:rsidR="00B65463" w:rsidRPr="0059317C">
        <w:rPr>
          <w:rFonts w:eastAsia="Times New Roman"/>
          <w:szCs w:val="20"/>
          <w:lang w:val="en-US"/>
        </w:rPr>
        <w:t xml:space="preserve">characters </w:t>
      </w:r>
      <w:r w:rsidR="00764F38" w:rsidRPr="0059317C">
        <w:rPr>
          <w:rFonts w:eastAsia="Times New Roman"/>
          <w:szCs w:val="20"/>
          <w:lang w:val="en-US"/>
        </w:rPr>
        <w:t xml:space="preserve">and features </w:t>
      </w:r>
      <w:r w:rsidR="00B65463" w:rsidRPr="0059317C">
        <w:rPr>
          <w:rFonts w:eastAsia="Times New Roman"/>
          <w:szCs w:val="20"/>
          <w:lang w:val="en-US"/>
        </w:rPr>
        <w:t xml:space="preserve">were not provided, including </w:t>
      </w:r>
      <w:r w:rsidR="004A5985" w:rsidRPr="0059317C">
        <w:rPr>
          <w:rFonts w:eastAsia="Times New Roman"/>
          <w:szCs w:val="20"/>
          <w:lang w:val="en-US"/>
        </w:rPr>
        <w:t xml:space="preserve">frequency </w:t>
      </w:r>
      <w:r w:rsidR="00B65463" w:rsidRPr="0059317C">
        <w:rPr>
          <w:rFonts w:eastAsia="Times New Roman"/>
          <w:szCs w:val="20"/>
          <w:lang w:val="en-US"/>
        </w:rPr>
        <w:t xml:space="preserve">percentages of specific minerals according to </w:t>
      </w:r>
      <w:r w:rsidR="003A091B" w:rsidRPr="0059317C">
        <w:rPr>
          <w:rFonts w:eastAsia="Times New Roman"/>
          <w:szCs w:val="20"/>
          <w:lang w:val="en-US"/>
        </w:rPr>
        <w:t xml:space="preserve">well-established and </w:t>
      </w:r>
      <w:r w:rsidR="003044C0" w:rsidRPr="0059317C">
        <w:rPr>
          <w:rFonts w:eastAsia="Times New Roman"/>
          <w:szCs w:val="20"/>
          <w:lang w:val="en-US"/>
        </w:rPr>
        <w:t xml:space="preserve">standard </w:t>
      </w:r>
      <w:r w:rsidR="00B65463" w:rsidRPr="0059317C">
        <w:rPr>
          <w:rFonts w:eastAsia="Times New Roman"/>
          <w:szCs w:val="20"/>
          <w:lang w:val="en-US"/>
        </w:rPr>
        <w:t>point-counting</w:t>
      </w:r>
      <w:r w:rsidR="004A5985" w:rsidRPr="0059317C">
        <w:rPr>
          <w:rFonts w:eastAsia="Times New Roman"/>
          <w:szCs w:val="20"/>
          <w:lang w:val="en-US"/>
        </w:rPr>
        <w:t xml:space="preserve"> (</w:t>
      </w:r>
      <w:r w:rsidR="001A0485" w:rsidRPr="0059317C">
        <w:rPr>
          <w:rFonts w:eastAsia="Times New Roman"/>
          <w:szCs w:val="20"/>
          <w:lang w:val="en-US"/>
        </w:rPr>
        <w:t>at</w:t>
      </w:r>
      <w:r w:rsidR="003044C0" w:rsidRPr="0059317C">
        <w:rPr>
          <w:rFonts w:eastAsia="Times New Roman"/>
          <w:szCs w:val="20"/>
          <w:lang w:val="en-US"/>
        </w:rPr>
        <w:t xml:space="preserve"> </w:t>
      </w:r>
      <w:r w:rsidR="001A0485" w:rsidRPr="0059317C">
        <w:rPr>
          <w:rFonts w:eastAsia="Times New Roman"/>
          <w:szCs w:val="20"/>
          <w:lang w:val="en-US"/>
        </w:rPr>
        <w:t>least</w:t>
      </w:r>
      <w:r w:rsidR="003044C0" w:rsidRPr="0059317C">
        <w:rPr>
          <w:rFonts w:eastAsia="Times New Roman"/>
          <w:szCs w:val="20"/>
          <w:lang w:val="en-US"/>
        </w:rPr>
        <w:t xml:space="preserve"> </w:t>
      </w:r>
      <w:r w:rsidR="00B65463" w:rsidRPr="0059317C">
        <w:rPr>
          <w:rFonts w:eastAsia="Times New Roman"/>
          <w:szCs w:val="20"/>
          <w:lang w:val="en-US"/>
        </w:rPr>
        <w:t>100</w:t>
      </w:r>
      <w:r w:rsidR="00B65463" w:rsidRPr="0059317C">
        <w:rPr>
          <w:rFonts w:eastAsia="Times New Roman"/>
          <w:szCs w:val="20"/>
          <w:lang w:val="en-US"/>
        </w:rPr>
        <w:softHyphen/>
        <w:t xml:space="preserve">–300 </w:t>
      </w:r>
      <w:r w:rsidR="001A0485" w:rsidRPr="0059317C">
        <w:rPr>
          <w:rFonts w:eastAsia="Times New Roman"/>
          <w:szCs w:val="20"/>
          <w:lang w:val="en-US"/>
        </w:rPr>
        <w:t xml:space="preserve">discrete </w:t>
      </w:r>
      <w:r w:rsidR="00B65463" w:rsidRPr="0059317C">
        <w:rPr>
          <w:rFonts w:eastAsia="Times New Roman"/>
          <w:szCs w:val="20"/>
          <w:lang w:val="en-US"/>
        </w:rPr>
        <w:t>random points</w:t>
      </w:r>
      <w:r w:rsidR="000952CA" w:rsidRPr="0059317C">
        <w:rPr>
          <w:rFonts w:eastAsia="Times New Roman"/>
          <w:szCs w:val="20"/>
          <w:lang w:val="en-US"/>
        </w:rPr>
        <w:t xml:space="preserve"> but ideally 300-500; </w:t>
      </w:r>
      <w:r w:rsidR="00687503">
        <w:rPr>
          <w:rFonts w:eastAsia="Times New Roman"/>
          <w:szCs w:val="20"/>
          <w:lang w:val="en-US"/>
        </w:rPr>
        <w:t xml:space="preserve">N.B.: </w:t>
      </w:r>
      <w:r w:rsidR="000952CA" w:rsidRPr="0059317C">
        <w:rPr>
          <w:rFonts w:eastAsia="Times New Roman"/>
          <w:szCs w:val="20"/>
          <w:lang w:val="en-US"/>
        </w:rPr>
        <w:t>frequency charts are</w:t>
      </w:r>
      <w:r w:rsidR="003044C0" w:rsidRPr="0059317C">
        <w:rPr>
          <w:rFonts w:eastAsia="Times New Roman"/>
          <w:szCs w:val="20"/>
          <w:lang w:val="en-US"/>
        </w:rPr>
        <w:t xml:space="preserve"> </w:t>
      </w:r>
      <w:r w:rsidR="00B65463" w:rsidRPr="0059317C">
        <w:rPr>
          <w:rFonts w:eastAsia="Times New Roman"/>
          <w:szCs w:val="20"/>
          <w:lang w:val="en-US"/>
        </w:rPr>
        <w:t>sometimes adequate</w:t>
      </w:r>
      <w:r w:rsidR="000952CA" w:rsidRPr="0059317C">
        <w:rPr>
          <w:rFonts w:eastAsia="Times New Roman"/>
          <w:szCs w:val="20"/>
          <w:lang w:val="en-US"/>
        </w:rPr>
        <w:t xml:space="preserve"> for major inclusions</w:t>
      </w:r>
      <w:r w:rsidR="004A5985" w:rsidRPr="0059317C">
        <w:rPr>
          <w:rFonts w:eastAsia="Times New Roman"/>
          <w:szCs w:val="20"/>
          <w:lang w:val="en-US"/>
        </w:rPr>
        <w:t>)</w:t>
      </w:r>
      <w:r w:rsidR="00B65463" w:rsidRPr="0059317C">
        <w:rPr>
          <w:rFonts w:eastAsia="Times New Roman"/>
          <w:szCs w:val="20"/>
          <w:lang w:val="en-US"/>
        </w:rPr>
        <w:t xml:space="preserve"> together with their sizes, angularity, any color differences, etc.</w:t>
      </w:r>
      <w:r w:rsidR="00973968">
        <w:rPr>
          <w:rFonts w:eastAsia="Times New Roman"/>
          <w:szCs w:val="20"/>
          <w:lang w:val="en-US"/>
        </w:rPr>
        <w:t xml:space="preserve">  P</w:t>
      </w:r>
      <w:r w:rsidR="00B65463" w:rsidRPr="0059317C">
        <w:rPr>
          <w:rFonts w:eastAsia="Times New Roman"/>
          <w:szCs w:val="20"/>
          <w:lang w:val="en-US"/>
        </w:rPr>
        <w:t>ore structure and degree of clay vitrification</w:t>
      </w:r>
      <w:r w:rsidR="00973968">
        <w:rPr>
          <w:rFonts w:eastAsia="Times New Roman"/>
          <w:szCs w:val="20"/>
          <w:lang w:val="en-US"/>
        </w:rPr>
        <w:t>, as well as</w:t>
      </w:r>
      <w:r w:rsidR="00B65463" w:rsidRPr="0059317C">
        <w:rPr>
          <w:rFonts w:eastAsia="Times New Roman"/>
          <w:szCs w:val="20"/>
          <w:lang w:val="en-US"/>
        </w:rPr>
        <w:t xml:space="preserve"> the presence</w:t>
      </w:r>
      <w:r w:rsidR="00973968">
        <w:rPr>
          <w:rFonts w:eastAsia="Times New Roman"/>
          <w:szCs w:val="20"/>
          <w:lang w:val="en-US"/>
        </w:rPr>
        <w:t>/</w:t>
      </w:r>
      <w:r w:rsidR="00B65463" w:rsidRPr="0059317C">
        <w:rPr>
          <w:rFonts w:eastAsia="Times New Roman"/>
          <w:szCs w:val="20"/>
          <w:lang w:val="en-US"/>
        </w:rPr>
        <w:t>absence of special features (e.g., clay nodules which might point to the mixing of clays)</w:t>
      </w:r>
      <w:r w:rsidR="00885D87">
        <w:rPr>
          <w:rFonts w:eastAsia="Times New Roman"/>
          <w:szCs w:val="20"/>
          <w:lang w:val="en-US"/>
        </w:rPr>
        <w:t>,</w:t>
      </w:r>
      <w:r w:rsidR="00973968">
        <w:rPr>
          <w:rFonts w:eastAsia="Times New Roman"/>
          <w:szCs w:val="20"/>
          <w:lang w:val="en-US"/>
        </w:rPr>
        <w:t xml:space="preserve"> were not noted</w:t>
      </w:r>
      <w:r w:rsidR="00B65463" w:rsidRPr="0059317C">
        <w:rPr>
          <w:rFonts w:eastAsia="Times New Roman"/>
          <w:szCs w:val="20"/>
          <w:lang w:val="en-US"/>
        </w:rPr>
        <w:t>.</w:t>
      </w:r>
      <w:r w:rsidR="00DE7E06" w:rsidRPr="0059317C">
        <w:rPr>
          <w:rFonts w:eastAsia="Times New Roman"/>
          <w:szCs w:val="20"/>
          <w:lang w:val="en-US"/>
        </w:rPr>
        <w:t xml:space="preserve">  </w:t>
      </w:r>
      <w:r w:rsidR="00885D87">
        <w:rPr>
          <w:rFonts w:eastAsia="Times New Roman"/>
          <w:szCs w:val="20"/>
          <w:lang w:val="en-US"/>
        </w:rPr>
        <w:t>Despite the general lack of detailed information, however, s</w:t>
      </w:r>
      <w:r w:rsidR="0031091D" w:rsidRPr="0059317C">
        <w:rPr>
          <w:rFonts w:eastAsia="Times New Roman"/>
          <w:szCs w:val="20"/>
          <w:lang w:val="en-US"/>
        </w:rPr>
        <w:t xml:space="preserve">ome pertinent petrographic information </w:t>
      </w:r>
      <w:r w:rsidR="00885D87">
        <w:rPr>
          <w:rFonts w:eastAsia="Times New Roman"/>
          <w:szCs w:val="20"/>
          <w:lang w:val="en-US"/>
        </w:rPr>
        <w:t>wa</w:t>
      </w:r>
      <w:r w:rsidR="0031091D" w:rsidRPr="0059317C">
        <w:rPr>
          <w:rFonts w:eastAsia="Times New Roman"/>
          <w:szCs w:val="20"/>
          <w:lang w:val="en-US"/>
        </w:rPr>
        <w:t>s provided for the Tell el-Dab`a</w:t>
      </w:r>
      <w:r w:rsidR="00EF7F00" w:rsidRPr="0059317C">
        <w:rPr>
          <w:rFonts w:eastAsia="Times New Roman"/>
          <w:szCs w:val="20"/>
          <w:lang w:val="en-US"/>
        </w:rPr>
        <w:t xml:space="preserve"> samples</w:t>
      </w:r>
      <w:r w:rsidR="0031091D" w:rsidRPr="0059317C">
        <w:rPr>
          <w:rFonts w:eastAsia="Times New Roman"/>
          <w:szCs w:val="20"/>
          <w:lang w:val="en-US"/>
        </w:rPr>
        <w:t xml:space="preserve"> (</w:t>
      </w:r>
      <w:r w:rsidR="00F06EE2">
        <w:rPr>
          <w:rFonts w:eastAsia="Times New Roman"/>
          <w:szCs w:val="20"/>
          <w:lang w:val="en-US"/>
        </w:rPr>
        <w:t>“</w:t>
      </w:r>
      <w:r w:rsidR="00F06EE2">
        <w:t>Daba Petrography</w:t>
      </w:r>
      <w:r w:rsidR="00F06EE2" w:rsidRPr="0059317C">
        <w:rPr>
          <w:rFonts w:eastAsia="Times New Roman"/>
          <w:szCs w:val="20"/>
          <w:lang w:val="en-US"/>
        </w:rPr>
        <w:t>,</w:t>
      </w:r>
      <w:r w:rsidR="00F06EE2">
        <w:t>”</w:t>
      </w:r>
      <w:r w:rsidR="006D0AE9">
        <w:t xml:space="preserve"> </w:t>
      </w:r>
      <w:r w:rsidR="00D85EE9" w:rsidRPr="0059317C">
        <w:rPr>
          <w:rFonts w:eastAsia="Times New Roman"/>
          <w:szCs w:val="20"/>
          <w:lang w:val="en-US"/>
        </w:rPr>
        <w:t>t</w:t>
      </w:r>
      <w:r w:rsidR="00EA4F8F" w:rsidRPr="0059317C">
        <w:rPr>
          <w:rFonts w:eastAsia="Times New Roman"/>
          <w:szCs w:val="20"/>
          <w:lang w:val="en-US"/>
        </w:rPr>
        <w:t>able 1</w:t>
      </w:r>
      <w:r w:rsidR="0031091D" w:rsidRPr="0059317C">
        <w:rPr>
          <w:rFonts w:eastAsia="Times New Roman"/>
          <w:szCs w:val="20"/>
          <w:lang w:val="en-US"/>
        </w:rPr>
        <w:t xml:space="preserve">) and </w:t>
      </w:r>
      <w:r w:rsidR="00EF7F00" w:rsidRPr="0059317C">
        <w:rPr>
          <w:rFonts w:eastAsia="Times New Roman"/>
          <w:szCs w:val="20"/>
          <w:lang w:val="en-US"/>
        </w:rPr>
        <w:t xml:space="preserve">the </w:t>
      </w:r>
      <w:r w:rsidR="0031091D" w:rsidRPr="0059317C">
        <w:rPr>
          <w:rFonts w:eastAsia="Times New Roman"/>
          <w:szCs w:val="20"/>
          <w:lang w:val="en-US"/>
        </w:rPr>
        <w:t>Amarna tablets (</w:t>
      </w:r>
      <w:r w:rsidR="002D7BF2" w:rsidRPr="00AE7DA1">
        <w:rPr>
          <w:i/>
          <w:lang w:val="en-US"/>
        </w:rPr>
        <w:t xml:space="preserve">Inscribed </w:t>
      </w:r>
      <w:r w:rsidR="002D7BF2">
        <w:rPr>
          <w:i/>
          <w:lang w:val="en-US"/>
        </w:rPr>
        <w:t>i</w:t>
      </w:r>
      <w:r w:rsidR="002D7BF2" w:rsidRPr="00AE7DA1">
        <w:rPr>
          <w:i/>
          <w:lang w:val="en-US"/>
        </w:rPr>
        <w:t>n Clay</w:t>
      </w:r>
      <w:r w:rsidR="0031091D" w:rsidRPr="0059317C">
        <w:rPr>
          <w:rFonts w:eastAsia="Times New Roman"/>
          <w:szCs w:val="20"/>
          <w:lang w:val="en-US"/>
        </w:rPr>
        <w:t xml:space="preserve">, </w:t>
      </w:r>
      <w:r w:rsidR="00EF7F00" w:rsidRPr="0059317C">
        <w:rPr>
          <w:rFonts w:eastAsia="Times New Roman"/>
          <w:i/>
          <w:szCs w:val="20"/>
          <w:lang w:val="en-US"/>
        </w:rPr>
        <w:t>passim</w:t>
      </w:r>
      <w:r w:rsidR="0031091D" w:rsidRPr="0059317C">
        <w:rPr>
          <w:rFonts w:eastAsia="Times New Roman"/>
          <w:szCs w:val="20"/>
          <w:lang w:val="en-US"/>
        </w:rPr>
        <w:t>).</w:t>
      </w:r>
      <w:r w:rsidR="00973968">
        <w:rPr>
          <w:rFonts w:eastAsia="Times New Roman"/>
          <w:szCs w:val="20"/>
          <w:lang w:val="en-US"/>
        </w:rPr>
        <w:t xml:space="preserve"> </w:t>
      </w:r>
      <w:r w:rsidR="0031091D" w:rsidRPr="0059317C">
        <w:rPr>
          <w:rFonts w:eastAsia="Times New Roman"/>
          <w:szCs w:val="20"/>
          <w:lang w:val="en-US"/>
        </w:rPr>
        <w:t xml:space="preserve"> </w:t>
      </w:r>
      <w:r w:rsidR="00885D87">
        <w:rPr>
          <w:rFonts w:eastAsia="Times New Roman"/>
          <w:szCs w:val="20"/>
          <w:lang w:val="en-US"/>
        </w:rPr>
        <w:t>As a general rule, t</w:t>
      </w:r>
      <w:r w:rsidR="00200936" w:rsidRPr="0059317C">
        <w:rPr>
          <w:rFonts w:eastAsia="Times New Roman"/>
          <w:szCs w:val="20"/>
          <w:lang w:val="en-US"/>
        </w:rPr>
        <w:t>he</w:t>
      </w:r>
      <w:r w:rsidR="00070895" w:rsidRPr="0059317C">
        <w:rPr>
          <w:rFonts w:eastAsia="Times New Roman"/>
          <w:szCs w:val="20"/>
          <w:lang w:val="en-US"/>
        </w:rPr>
        <w:t xml:space="preserve"> more thin-sections included in the study and the more detailed variables recorded, the better.</w:t>
      </w:r>
    </w:p>
    <w:p w14:paraId="681DA9DC" w14:textId="77777777" w:rsidR="00B353D3" w:rsidRPr="0059317C" w:rsidRDefault="00B353D3" w:rsidP="00B65463">
      <w:pPr>
        <w:widowControl w:val="0"/>
        <w:autoSpaceDE w:val="0"/>
        <w:autoSpaceDN w:val="0"/>
        <w:adjustRightInd w:val="0"/>
        <w:spacing w:after="0" w:line="240" w:lineRule="auto"/>
        <w:rPr>
          <w:rFonts w:eastAsia="Times New Roman"/>
          <w:szCs w:val="20"/>
          <w:lang w:val="en-US"/>
        </w:rPr>
      </w:pPr>
    </w:p>
    <w:p w14:paraId="550A4DB0" w14:textId="77777777" w:rsidR="00B65463" w:rsidRPr="0059317C" w:rsidRDefault="00B353D3" w:rsidP="00B65463">
      <w:pPr>
        <w:widowControl w:val="0"/>
        <w:autoSpaceDE w:val="0"/>
        <w:autoSpaceDN w:val="0"/>
        <w:adjustRightInd w:val="0"/>
        <w:spacing w:after="0" w:line="240" w:lineRule="auto"/>
        <w:rPr>
          <w:rFonts w:eastAsia="Times New Roman"/>
          <w:szCs w:val="20"/>
          <w:lang w:val="en-US"/>
        </w:rPr>
      </w:pPr>
      <w:r w:rsidRPr="0059317C">
        <w:rPr>
          <w:rFonts w:eastAsia="Times New Roman"/>
          <w:szCs w:val="20"/>
          <w:lang w:val="en-US"/>
        </w:rPr>
        <w:t>Selected thin-section photo</w:t>
      </w:r>
      <w:r w:rsidR="00B6334F" w:rsidRPr="0059317C">
        <w:rPr>
          <w:rFonts w:eastAsia="Times New Roman"/>
          <w:szCs w:val="20"/>
          <w:lang w:val="en-US"/>
        </w:rPr>
        <w:t>micro</w:t>
      </w:r>
      <w:r w:rsidRPr="0059317C">
        <w:rPr>
          <w:rFonts w:eastAsia="Times New Roman"/>
          <w:szCs w:val="20"/>
          <w:lang w:val="en-US"/>
        </w:rPr>
        <w:t xml:space="preserve">graphs are provided for </w:t>
      </w:r>
      <w:r w:rsidR="00BE1804" w:rsidRPr="0059317C">
        <w:rPr>
          <w:rFonts w:eastAsia="Times New Roman"/>
          <w:szCs w:val="20"/>
          <w:lang w:val="en-US"/>
        </w:rPr>
        <w:t>19</w:t>
      </w:r>
      <w:r w:rsidRPr="0059317C">
        <w:rPr>
          <w:rFonts w:eastAsia="Times New Roman"/>
          <w:szCs w:val="20"/>
          <w:lang w:val="en-US"/>
        </w:rPr>
        <w:t xml:space="preserve"> Tell el-Dab`a samples (</w:t>
      </w:r>
      <w:r w:rsidR="00F06EE2">
        <w:rPr>
          <w:rFonts w:eastAsia="Times New Roman"/>
          <w:szCs w:val="20"/>
          <w:lang w:val="en-US"/>
        </w:rPr>
        <w:t>“</w:t>
      </w:r>
      <w:r w:rsidR="00F06EE2">
        <w:t>Daba Petrography</w:t>
      </w:r>
      <w:r w:rsidR="00F06EE2" w:rsidRPr="0059317C">
        <w:rPr>
          <w:rFonts w:eastAsia="Times New Roman"/>
          <w:szCs w:val="20"/>
          <w:lang w:val="en-US"/>
        </w:rPr>
        <w:t>,</w:t>
      </w:r>
      <w:r w:rsidR="00F06EE2">
        <w:t xml:space="preserve">” </w:t>
      </w:r>
      <w:r w:rsidR="00BE1804" w:rsidRPr="0059317C">
        <w:rPr>
          <w:rFonts w:eastAsia="Times New Roman"/>
          <w:szCs w:val="20"/>
          <w:lang w:val="en-US"/>
        </w:rPr>
        <w:t>pl. 1</w:t>
      </w:r>
      <w:r w:rsidRPr="0059317C">
        <w:rPr>
          <w:rFonts w:eastAsia="Times New Roman"/>
          <w:szCs w:val="20"/>
          <w:lang w:val="en-US"/>
        </w:rPr>
        <w:t>)</w:t>
      </w:r>
      <w:r w:rsidR="00B6334F" w:rsidRPr="0059317C">
        <w:rPr>
          <w:rFonts w:eastAsia="Times New Roman"/>
          <w:szCs w:val="20"/>
          <w:lang w:val="en-US"/>
        </w:rPr>
        <w:t xml:space="preserve"> said to derive from a</w:t>
      </w:r>
      <w:r w:rsidR="003D2A46" w:rsidRPr="0059317C">
        <w:rPr>
          <w:rFonts w:eastAsia="Times New Roman"/>
          <w:szCs w:val="20"/>
          <w:lang w:val="en-US"/>
        </w:rPr>
        <w:t xml:space="preserve"> specific </w:t>
      </w:r>
      <w:r w:rsidR="00B6334F" w:rsidRPr="0059317C">
        <w:rPr>
          <w:rFonts w:eastAsia="Times New Roman"/>
          <w:szCs w:val="20"/>
          <w:lang w:val="en-US"/>
        </w:rPr>
        <w:t xml:space="preserve">Levantine </w:t>
      </w:r>
      <w:r w:rsidR="00BE1804" w:rsidRPr="0059317C">
        <w:rPr>
          <w:rFonts w:eastAsia="Times New Roman"/>
          <w:szCs w:val="20"/>
          <w:lang w:val="en-US"/>
        </w:rPr>
        <w:t>group</w:t>
      </w:r>
      <w:r w:rsidR="00764F38" w:rsidRPr="0059317C">
        <w:rPr>
          <w:rFonts w:eastAsia="Times New Roman"/>
          <w:szCs w:val="20"/>
          <w:lang w:val="en-US"/>
        </w:rPr>
        <w:t>,</w:t>
      </w:r>
      <w:r w:rsidR="0075017A" w:rsidRPr="0059317C">
        <w:rPr>
          <w:rFonts w:eastAsia="Times New Roman"/>
          <w:szCs w:val="20"/>
          <w:lang w:val="en-US"/>
        </w:rPr>
        <w:t xml:space="preserve"> but </w:t>
      </w:r>
      <w:r w:rsidR="0075017A" w:rsidRPr="0059317C">
        <w:rPr>
          <w:rFonts w:eastAsia="Times New Roman"/>
          <w:szCs w:val="20"/>
          <w:lang w:val="en-US"/>
        </w:rPr>
        <w:lastRenderedPageBreak/>
        <w:t xml:space="preserve">they </w:t>
      </w:r>
      <w:r w:rsidR="00450424" w:rsidRPr="0059317C">
        <w:rPr>
          <w:rFonts w:eastAsia="Times New Roman"/>
          <w:szCs w:val="20"/>
          <w:lang w:val="en-US"/>
        </w:rPr>
        <w:t xml:space="preserve">provide limited information about the distinctive mineralogical and other inclusions that distinguish the </w:t>
      </w:r>
      <w:r w:rsidR="0075017A" w:rsidRPr="0059317C">
        <w:rPr>
          <w:rFonts w:eastAsia="Times New Roman"/>
          <w:szCs w:val="20"/>
          <w:lang w:val="en-US"/>
        </w:rPr>
        <w:t>Levantine</w:t>
      </w:r>
      <w:r w:rsidR="00450424" w:rsidRPr="0059317C">
        <w:rPr>
          <w:rFonts w:eastAsia="Times New Roman"/>
          <w:szCs w:val="20"/>
          <w:lang w:val="en-US"/>
        </w:rPr>
        <w:t xml:space="preserve"> groups from one another.  Goren’s petrographic database is </w:t>
      </w:r>
      <w:r w:rsidR="0075017A" w:rsidRPr="0059317C">
        <w:rPr>
          <w:rFonts w:eastAsia="Times New Roman"/>
          <w:szCs w:val="20"/>
          <w:lang w:val="en-US"/>
        </w:rPr>
        <w:t xml:space="preserve">also </w:t>
      </w:r>
      <w:r w:rsidR="00450424" w:rsidRPr="0059317C">
        <w:rPr>
          <w:rFonts w:eastAsia="Times New Roman"/>
          <w:szCs w:val="20"/>
          <w:lang w:val="en-US"/>
        </w:rPr>
        <w:t xml:space="preserve">said to include reference raw materials and a collection of </w:t>
      </w:r>
      <w:r w:rsidR="00784E27" w:rsidRPr="0059317C">
        <w:rPr>
          <w:rFonts w:eastAsia="Times New Roman"/>
          <w:szCs w:val="20"/>
          <w:lang w:val="en-US"/>
        </w:rPr>
        <w:t xml:space="preserve">pottery </w:t>
      </w:r>
      <w:r w:rsidR="00450424" w:rsidRPr="0059317C">
        <w:rPr>
          <w:rFonts w:eastAsia="Times New Roman"/>
          <w:szCs w:val="20"/>
          <w:lang w:val="en-US"/>
        </w:rPr>
        <w:t>thin</w:t>
      </w:r>
      <w:r w:rsidR="00784E27" w:rsidRPr="0059317C">
        <w:rPr>
          <w:rFonts w:eastAsia="Times New Roman"/>
          <w:szCs w:val="20"/>
          <w:lang w:val="en-US"/>
        </w:rPr>
        <w:t>-</w:t>
      </w:r>
      <w:r w:rsidR="00450424" w:rsidRPr="0059317C">
        <w:rPr>
          <w:rFonts w:eastAsia="Times New Roman"/>
          <w:szCs w:val="20"/>
          <w:lang w:val="en-US"/>
        </w:rPr>
        <w:t>sections</w:t>
      </w:r>
      <w:r w:rsidR="00784E27" w:rsidRPr="0059317C">
        <w:rPr>
          <w:rFonts w:eastAsia="Times New Roman"/>
          <w:szCs w:val="20"/>
          <w:lang w:val="en-US"/>
        </w:rPr>
        <w:t xml:space="preserve"> </w:t>
      </w:r>
      <w:r w:rsidR="00450424" w:rsidRPr="0059317C">
        <w:rPr>
          <w:rFonts w:eastAsia="Times New Roman"/>
          <w:szCs w:val="20"/>
          <w:lang w:val="en-US"/>
        </w:rPr>
        <w:t xml:space="preserve">from </w:t>
      </w:r>
      <w:r w:rsidR="00784E27" w:rsidRPr="0059317C">
        <w:rPr>
          <w:rFonts w:eastAsia="Times New Roman"/>
          <w:szCs w:val="20"/>
          <w:lang w:val="en-US"/>
        </w:rPr>
        <w:t>southern Levantine sites, in addition to thin-sections for many sites in Syria and Lebanon</w:t>
      </w:r>
      <w:r w:rsidR="00221E6C" w:rsidRPr="0059317C">
        <w:rPr>
          <w:rFonts w:eastAsia="Times New Roman"/>
          <w:szCs w:val="20"/>
          <w:lang w:val="en-US"/>
        </w:rPr>
        <w:t xml:space="preserve"> (</w:t>
      </w:r>
      <w:r w:rsidR="00F06EE2">
        <w:rPr>
          <w:rFonts w:eastAsia="Times New Roman"/>
          <w:szCs w:val="20"/>
          <w:lang w:val="en-US"/>
        </w:rPr>
        <w:t>“</w:t>
      </w:r>
      <w:r w:rsidR="00F06EE2">
        <w:t>Daba Petrography</w:t>
      </w:r>
      <w:r w:rsidR="00F06EE2" w:rsidRPr="0059317C">
        <w:rPr>
          <w:rFonts w:eastAsia="Times New Roman"/>
          <w:szCs w:val="20"/>
          <w:lang w:val="en-US"/>
        </w:rPr>
        <w:t>,</w:t>
      </w:r>
      <w:r w:rsidR="00F06EE2">
        <w:t xml:space="preserve">” </w:t>
      </w:r>
      <w:r w:rsidR="00221E6C" w:rsidRPr="0059317C">
        <w:rPr>
          <w:rFonts w:eastAsia="Times New Roman"/>
          <w:szCs w:val="20"/>
          <w:lang w:val="en-US"/>
        </w:rPr>
        <w:t>p. 78, note 4)</w:t>
      </w:r>
      <w:r w:rsidR="00784E27" w:rsidRPr="0059317C">
        <w:rPr>
          <w:rFonts w:eastAsia="Times New Roman"/>
          <w:szCs w:val="20"/>
          <w:lang w:val="en-US"/>
        </w:rPr>
        <w:t xml:space="preserve">, but </w:t>
      </w:r>
      <w:r w:rsidR="003D2A46" w:rsidRPr="0059317C">
        <w:rPr>
          <w:rFonts w:eastAsia="Times New Roman"/>
          <w:szCs w:val="20"/>
          <w:lang w:val="en-US"/>
        </w:rPr>
        <w:t xml:space="preserve">details are </w:t>
      </w:r>
      <w:r w:rsidR="00221E6C" w:rsidRPr="0059317C">
        <w:rPr>
          <w:rFonts w:eastAsia="Times New Roman"/>
          <w:szCs w:val="20"/>
          <w:lang w:val="en-US"/>
        </w:rPr>
        <w:t>lacking</w:t>
      </w:r>
      <w:r w:rsidR="003D2A46" w:rsidRPr="0059317C">
        <w:rPr>
          <w:rFonts w:eastAsia="Times New Roman"/>
          <w:szCs w:val="20"/>
          <w:lang w:val="en-US"/>
        </w:rPr>
        <w:t xml:space="preserve">.  </w:t>
      </w:r>
    </w:p>
    <w:p w14:paraId="075340F1" w14:textId="77777777" w:rsidR="00592013" w:rsidRPr="0059317C" w:rsidRDefault="00592013" w:rsidP="00B65463">
      <w:pPr>
        <w:widowControl w:val="0"/>
        <w:autoSpaceDE w:val="0"/>
        <w:autoSpaceDN w:val="0"/>
        <w:adjustRightInd w:val="0"/>
        <w:spacing w:after="0" w:line="240" w:lineRule="auto"/>
        <w:rPr>
          <w:rFonts w:eastAsia="Times New Roman"/>
          <w:szCs w:val="20"/>
          <w:lang w:val="en-US"/>
        </w:rPr>
      </w:pPr>
    </w:p>
    <w:p w14:paraId="1FEF1586" w14:textId="77777777" w:rsidR="00B65463" w:rsidRPr="0059317C" w:rsidRDefault="00550EBE" w:rsidP="00B65463">
      <w:pPr>
        <w:widowControl w:val="0"/>
        <w:autoSpaceDE w:val="0"/>
        <w:autoSpaceDN w:val="0"/>
        <w:adjustRightInd w:val="0"/>
        <w:spacing w:after="0" w:line="240" w:lineRule="auto"/>
        <w:rPr>
          <w:rFonts w:eastAsia="Times New Roman"/>
          <w:szCs w:val="20"/>
          <w:lang w:val="en-US"/>
        </w:rPr>
      </w:pPr>
      <w:r w:rsidRPr="0059317C">
        <w:rPr>
          <w:rFonts w:eastAsia="Times New Roman"/>
          <w:szCs w:val="20"/>
          <w:lang w:val="en-US"/>
        </w:rPr>
        <w:t>5</w:t>
      </w:r>
      <w:r w:rsidR="00592013" w:rsidRPr="0059317C">
        <w:rPr>
          <w:rFonts w:eastAsia="Times New Roman"/>
          <w:szCs w:val="20"/>
          <w:lang w:val="en-US"/>
        </w:rPr>
        <w:t>)</w:t>
      </w:r>
      <w:r w:rsidR="00B65463" w:rsidRPr="0059317C">
        <w:rPr>
          <w:rFonts w:eastAsia="Times New Roman"/>
          <w:szCs w:val="20"/>
          <w:lang w:val="en-US"/>
        </w:rPr>
        <w:t xml:space="preserve"> </w:t>
      </w:r>
      <w:r w:rsidR="00DD68DE" w:rsidRPr="0059317C">
        <w:rPr>
          <w:rFonts w:eastAsia="Times New Roman"/>
          <w:szCs w:val="20"/>
          <w:lang w:val="en-US"/>
        </w:rPr>
        <w:t xml:space="preserve">The </w:t>
      </w:r>
      <w:r w:rsidR="00592013" w:rsidRPr="0059317C">
        <w:rPr>
          <w:rFonts w:eastAsia="Times New Roman"/>
          <w:szCs w:val="20"/>
          <w:lang w:val="en-US"/>
        </w:rPr>
        <w:t xml:space="preserve">essential archaeological, petrographic and other </w:t>
      </w:r>
      <w:r w:rsidR="00ED5755" w:rsidRPr="0059317C">
        <w:rPr>
          <w:rFonts w:eastAsia="Times New Roman"/>
          <w:szCs w:val="20"/>
          <w:lang w:val="en-US"/>
        </w:rPr>
        <w:t>information</w:t>
      </w:r>
      <w:r w:rsidR="00DD68DE" w:rsidRPr="0059317C">
        <w:rPr>
          <w:rFonts w:eastAsia="Times New Roman"/>
          <w:szCs w:val="20"/>
          <w:lang w:val="en-US"/>
        </w:rPr>
        <w:t xml:space="preserve"> were not compiled into a readily accessible database</w:t>
      </w:r>
      <w:r w:rsidR="00592013" w:rsidRPr="0059317C">
        <w:rPr>
          <w:rFonts w:eastAsia="Times New Roman"/>
          <w:szCs w:val="20"/>
          <w:lang w:val="en-US"/>
        </w:rPr>
        <w:t xml:space="preserve"> for testing and corroborat</w:t>
      </w:r>
      <w:r w:rsidR="00AF1137" w:rsidRPr="0059317C">
        <w:rPr>
          <w:rFonts w:eastAsia="Times New Roman"/>
          <w:szCs w:val="20"/>
          <w:lang w:val="en-US"/>
        </w:rPr>
        <w:t>ing</w:t>
      </w:r>
      <w:r w:rsidR="00592013" w:rsidRPr="0059317C">
        <w:rPr>
          <w:rFonts w:eastAsia="Times New Roman"/>
          <w:szCs w:val="20"/>
          <w:lang w:val="en-US"/>
        </w:rPr>
        <w:t xml:space="preserve"> the </w:t>
      </w:r>
      <w:r w:rsidR="00AF1137" w:rsidRPr="0059317C">
        <w:rPr>
          <w:rFonts w:eastAsia="Times New Roman"/>
          <w:szCs w:val="20"/>
          <w:lang w:val="en-US"/>
        </w:rPr>
        <w:t xml:space="preserve">11 </w:t>
      </w:r>
      <w:r w:rsidR="0075017A" w:rsidRPr="0059317C">
        <w:rPr>
          <w:rFonts w:eastAsia="Times New Roman"/>
          <w:szCs w:val="20"/>
          <w:lang w:val="en-US"/>
        </w:rPr>
        <w:t>Levantine</w:t>
      </w:r>
      <w:r w:rsidR="00AF1137" w:rsidRPr="0059317C">
        <w:rPr>
          <w:rFonts w:eastAsia="Times New Roman"/>
          <w:szCs w:val="20"/>
          <w:lang w:val="en-US"/>
        </w:rPr>
        <w:t xml:space="preserve"> groups by other investigators independently.</w:t>
      </w:r>
      <w:r w:rsidR="00E77C20" w:rsidRPr="0059317C">
        <w:rPr>
          <w:rFonts w:eastAsia="Times New Roman"/>
          <w:szCs w:val="20"/>
          <w:lang w:val="en-US"/>
        </w:rPr>
        <w:t xml:space="preserve">  Raw data </w:t>
      </w:r>
      <w:r w:rsidR="00240B9E" w:rsidRPr="0059317C">
        <w:rPr>
          <w:rFonts w:eastAsia="Times New Roman"/>
          <w:szCs w:val="20"/>
          <w:lang w:val="en-US"/>
        </w:rPr>
        <w:t>that I and others have</w:t>
      </w:r>
      <w:r w:rsidR="00E77C20" w:rsidRPr="0059317C">
        <w:rPr>
          <w:rFonts w:eastAsia="Times New Roman"/>
          <w:szCs w:val="20"/>
          <w:lang w:val="en-US"/>
        </w:rPr>
        <w:t xml:space="preserve"> requested </w:t>
      </w:r>
      <w:r w:rsidR="00240B9E" w:rsidRPr="0059317C">
        <w:rPr>
          <w:rFonts w:eastAsia="Times New Roman"/>
          <w:szCs w:val="20"/>
          <w:lang w:val="en-US"/>
        </w:rPr>
        <w:t>has</w:t>
      </w:r>
      <w:r w:rsidR="00E77C20" w:rsidRPr="0059317C">
        <w:rPr>
          <w:rFonts w:eastAsia="Times New Roman"/>
          <w:szCs w:val="20"/>
          <w:lang w:val="en-US"/>
        </w:rPr>
        <w:t xml:space="preserve"> not </w:t>
      </w:r>
      <w:r w:rsidR="00240B9E" w:rsidRPr="0059317C">
        <w:rPr>
          <w:rFonts w:eastAsia="Times New Roman"/>
          <w:szCs w:val="20"/>
          <w:lang w:val="en-US"/>
        </w:rPr>
        <w:t xml:space="preserve">been </w:t>
      </w:r>
      <w:r w:rsidR="00E77C20" w:rsidRPr="0059317C">
        <w:rPr>
          <w:rFonts w:eastAsia="Times New Roman"/>
          <w:szCs w:val="20"/>
          <w:lang w:val="en-US"/>
        </w:rPr>
        <w:t>forthcoming.</w:t>
      </w:r>
    </w:p>
    <w:p w14:paraId="32198375" w14:textId="77777777" w:rsidR="00AF1137" w:rsidRPr="0059317C" w:rsidRDefault="00AF1137" w:rsidP="00B65463">
      <w:pPr>
        <w:widowControl w:val="0"/>
        <w:autoSpaceDE w:val="0"/>
        <w:autoSpaceDN w:val="0"/>
        <w:adjustRightInd w:val="0"/>
        <w:spacing w:after="0" w:line="240" w:lineRule="auto"/>
        <w:rPr>
          <w:rFonts w:eastAsia="Times New Roman"/>
          <w:szCs w:val="20"/>
          <w:lang w:val="en-US"/>
        </w:rPr>
      </w:pPr>
    </w:p>
    <w:p w14:paraId="17D4E7D0" w14:textId="08554F09" w:rsidR="00B65463" w:rsidRPr="0059317C" w:rsidRDefault="00550EBE" w:rsidP="00B65463">
      <w:pPr>
        <w:widowControl w:val="0"/>
        <w:autoSpaceDE w:val="0"/>
        <w:autoSpaceDN w:val="0"/>
        <w:adjustRightInd w:val="0"/>
        <w:spacing w:after="0" w:line="240" w:lineRule="auto"/>
        <w:rPr>
          <w:rFonts w:eastAsia="Times New Roman"/>
          <w:szCs w:val="20"/>
          <w:lang w:val="en-US"/>
        </w:rPr>
      </w:pPr>
      <w:r w:rsidRPr="0059317C">
        <w:rPr>
          <w:rFonts w:eastAsia="Times New Roman"/>
          <w:szCs w:val="20"/>
          <w:lang w:val="en-US"/>
        </w:rPr>
        <w:t>6</w:t>
      </w:r>
      <w:r w:rsidR="00B65463" w:rsidRPr="0059317C">
        <w:rPr>
          <w:rFonts w:eastAsia="Times New Roman"/>
          <w:szCs w:val="20"/>
          <w:lang w:val="en-US"/>
        </w:rPr>
        <w:t xml:space="preserve">) </w:t>
      </w:r>
      <w:r w:rsidR="00D200DB">
        <w:rPr>
          <w:rFonts w:eastAsia="Times New Roman"/>
          <w:szCs w:val="20"/>
          <w:lang w:val="en-US"/>
        </w:rPr>
        <w:t>An uncertain number of l</w:t>
      </w:r>
      <w:r w:rsidR="00B65463" w:rsidRPr="0059317C">
        <w:rPr>
          <w:rFonts w:eastAsia="Times New Roman"/>
          <w:szCs w:val="20"/>
          <w:lang w:val="en-US"/>
        </w:rPr>
        <w:t xml:space="preserve">ocal clay and mineral samples for the 11 </w:t>
      </w:r>
      <w:r w:rsidR="0075017A" w:rsidRPr="0059317C">
        <w:rPr>
          <w:rFonts w:eastAsia="Times New Roman"/>
          <w:szCs w:val="20"/>
          <w:lang w:val="en-US"/>
        </w:rPr>
        <w:t>Levantine</w:t>
      </w:r>
      <w:r w:rsidR="00B65463" w:rsidRPr="0059317C">
        <w:rPr>
          <w:rFonts w:eastAsia="Times New Roman"/>
          <w:szCs w:val="20"/>
          <w:lang w:val="en-US"/>
        </w:rPr>
        <w:t xml:space="preserve"> groups were collected </w:t>
      </w:r>
      <w:r w:rsidR="00D200DB">
        <w:rPr>
          <w:rFonts w:eastAsia="Times New Roman"/>
          <w:szCs w:val="20"/>
          <w:lang w:val="en-US"/>
        </w:rPr>
        <w:t xml:space="preserve">and </w:t>
      </w:r>
      <w:r w:rsidR="00B65463" w:rsidRPr="0059317C">
        <w:rPr>
          <w:rFonts w:eastAsia="Times New Roman"/>
          <w:szCs w:val="20"/>
          <w:lang w:val="en-US"/>
        </w:rPr>
        <w:t xml:space="preserve">refired </w:t>
      </w:r>
      <w:r w:rsidR="00D200DB">
        <w:rPr>
          <w:rFonts w:eastAsia="Times New Roman"/>
          <w:szCs w:val="20"/>
          <w:lang w:val="en-US"/>
        </w:rPr>
        <w:t xml:space="preserve">as </w:t>
      </w:r>
      <w:r w:rsidR="00B65463" w:rsidRPr="0059317C">
        <w:rPr>
          <w:rFonts w:eastAsia="Times New Roman"/>
          <w:szCs w:val="20"/>
          <w:lang w:val="en-US"/>
        </w:rPr>
        <w:t xml:space="preserve">clay briquettes </w:t>
      </w:r>
      <w:r w:rsidR="00D200DB">
        <w:rPr>
          <w:rFonts w:eastAsia="Times New Roman"/>
          <w:szCs w:val="20"/>
          <w:lang w:val="en-US"/>
        </w:rPr>
        <w:t xml:space="preserve">for </w:t>
      </w:r>
      <w:r w:rsidR="00B65463" w:rsidRPr="0059317C">
        <w:rPr>
          <w:rFonts w:eastAsia="Times New Roman"/>
          <w:szCs w:val="20"/>
          <w:lang w:val="en-US"/>
        </w:rPr>
        <w:t>prepar</w:t>
      </w:r>
      <w:r w:rsidR="00D200DB">
        <w:rPr>
          <w:rFonts w:eastAsia="Times New Roman"/>
          <w:szCs w:val="20"/>
          <w:lang w:val="en-US"/>
        </w:rPr>
        <w:t>ing</w:t>
      </w:r>
      <w:r w:rsidR="00B65463" w:rsidRPr="0059317C">
        <w:rPr>
          <w:rFonts w:eastAsia="Times New Roman"/>
          <w:szCs w:val="20"/>
          <w:lang w:val="en-US"/>
        </w:rPr>
        <w:t xml:space="preserve"> thin-sections for comparison with the ancient pottery.</w:t>
      </w:r>
    </w:p>
    <w:p w14:paraId="5DCDD4E7" w14:textId="77777777" w:rsidR="00AF1137" w:rsidRPr="0059317C" w:rsidRDefault="00AF1137" w:rsidP="00B65463">
      <w:pPr>
        <w:widowControl w:val="0"/>
        <w:autoSpaceDE w:val="0"/>
        <w:autoSpaceDN w:val="0"/>
        <w:adjustRightInd w:val="0"/>
        <w:spacing w:after="0" w:line="240" w:lineRule="auto"/>
        <w:rPr>
          <w:rFonts w:eastAsia="Times New Roman"/>
          <w:szCs w:val="20"/>
          <w:lang w:val="en-US"/>
        </w:rPr>
      </w:pPr>
    </w:p>
    <w:p w14:paraId="3C6D808E" w14:textId="77777777" w:rsidR="008E72D3" w:rsidRPr="0059317C" w:rsidRDefault="0007080C" w:rsidP="00B65463">
      <w:pPr>
        <w:widowControl w:val="0"/>
        <w:autoSpaceDE w:val="0"/>
        <w:autoSpaceDN w:val="0"/>
        <w:adjustRightInd w:val="0"/>
        <w:spacing w:after="0" w:line="240" w:lineRule="auto"/>
        <w:rPr>
          <w:rFonts w:eastAsia="Times New Roman"/>
          <w:szCs w:val="20"/>
          <w:lang w:val="en-US"/>
        </w:rPr>
      </w:pPr>
      <w:r w:rsidRPr="0059317C">
        <w:rPr>
          <w:rFonts w:eastAsia="Times New Roman"/>
          <w:szCs w:val="20"/>
          <w:lang w:val="en-US"/>
        </w:rPr>
        <w:t>7</w:t>
      </w:r>
      <w:r w:rsidR="00AF1137" w:rsidRPr="0059317C">
        <w:rPr>
          <w:rFonts w:eastAsia="Times New Roman"/>
          <w:szCs w:val="20"/>
          <w:lang w:val="en-US"/>
        </w:rPr>
        <w:t xml:space="preserve">) </w:t>
      </w:r>
      <w:r w:rsidR="006033B6" w:rsidRPr="0059317C">
        <w:rPr>
          <w:rFonts w:eastAsia="Times New Roman"/>
          <w:szCs w:val="20"/>
          <w:lang w:val="en-US"/>
        </w:rPr>
        <w:t>In lieu of collecting samples of clays and minerals in the field,</w:t>
      </w:r>
      <w:r w:rsidR="004D223C" w:rsidRPr="0059317C">
        <w:rPr>
          <w:rFonts w:eastAsia="Times New Roman"/>
          <w:szCs w:val="20"/>
          <w:lang w:val="en-US"/>
        </w:rPr>
        <w:t xml:space="preserve"> </w:t>
      </w:r>
      <w:r w:rsidR="00240B9E" w:rsidRPr="0059317C">
        <w:rPr>
          <w:rFonts w:eastAsia="Times New Roman"/>
          <w:szCs w:val="20"/>
          <w:lang w:val="en-US"/>
        </w:rPr>
        <w:t xml:space="preserve">geological maps were used as the </w:t>
      </w:r>
      <w:r w:rsidR="004D223C" w:rsidRPr="0059317C">
        <w:rPr>
          <w:rFonts w:eastAsia="Times New Roman"/>
          <w:szCs w:val="20"/>
          <w:lang w:val="en-US"/>
        </w:rPr>
        <w:t xml:space="preserve">principal </w:t>
      </w:r>
      <w:r w:rsidR="00240B9E" w:rsidRPr="0059317C">
        <w:rPr>
          <w:rFonts w:eastAsia="Times New Roman"/>
          <w:szCs w:val="20"/>
          <w:lang w:val="en-US"/>
        </w:rPr>
        <w:t xml:space="preserve">source of possible </w:t>
      </w:r>
      <w:r w:rsidR="00841FCA" w:rsidRPr="0059317C">
        <w:rPr>
          <w:rFonts w:eastAsia="Times New Roman"/>
          <w:szCs w:val="20"/>
          <w:lang w:val="en-US"/>
        </w:rPr>
        <w:t>provenance</w:t>
      </w:r>
      <w:r w:rsidR="004D223C" w:rsidRPr="0059317C">
        <w:rPr>
          <w:rFonts w:eastAsia="Times New Roman"/>
          <w:szCs w:val="20"/>
          <w:lang w:val="en-US"/>
        </w:rPr>
        <w:t>s</w:t>
      </w:r>
      <w:r w:rsidR="00FD638B" w:rsidRPr="0059317C">
        <w:rPr>
          <w:rFonts w:eastAsia="Times New Roman"/>
          <w:szCs w:val="20"/>
          <w:lang w:val="en-US"/>
        </w:rPr>
        <w:t xml:space="preserve"> (</w:t>
      </w:r>
      <w:r w:rsidR="00F06EE2">
        <w:rPr>
          <w:rFonts w:eastAsia="Times New Roman"/>
          <w:szCs w:val="20"/>
          <w:lang w:val="en-US"/>
        </w:rPr>
        <w:t>“</w:t>
      </w:r>
      <w:r w:rsidR="00F06EE2">
        <w:t>Daba Petrography</w:t>
      </w:r>
      <w:r w:rsidR="00F06EE2" w:rsidRPr="0059317C">
        <w:rPr>
          <w:rFonts w:eastAsia="Times New Roman"/>
          <w:szCs w:val="20"/>
          <w:lang w:val="en-US"/>
        </w:rPr>
        <w:t>,</w:t>
      </w:r>
      <w:r w:rsidR="00F06EE2">
        <w:t>”</w:t>
      </w:r>
      <w:r w:rsidR="00F06EE2">
        <w:rPr>
          <w:rFonts w:eastAsia="Times New Roman"/>
          <w:szCs w:val="20"/>
          <w:lang w:val="en-US"/>
        </w:rPr>
        <w:t xml:space="preserve"> </w:t>
      </w:r>
      <w:r w:rsidR="00EF7F00" w:rsidRPr="0059317C">
        <w:rPr>
          <w:rFonts w:eastAsia="Times New Roman"/>
          <w:i/>
          <w:szCs w:val="20"/>
          <w:lang w:val="en-US"/>
        </w:rPr>
        <w:t>passim</w:t>
      </w:r>
      <w:r w:rsidR="00EF7F00" w:rsidRPr="0059317C">
        <w:rPr>
          <w:rFonts w:eastAsia="Times New Roman"/>
          <w:szCs w:val="20"/>
          <w:lang w:val="en-US"/>
        </w:rPr>
        <w:t xml:space="preserve">; </w:t>
      </w:r>
      <w:r w:rsidR="003106F5" w:rsidRPr="00AE7DA1">
        <w:rPr>
          <w:i/>
          <w:lang w:val="en-US"/>
        </w:rPr>
        <w:t xml:space="preserve">Inscribed </w:t>
      </w:r>
      <w:r w:rsidR="003106F5">
        <w:rPr>
          <w:i/>
          <w:lang w:val="en-US"/>
        </w:rPr>
        <w:t>i</w:t>
      </w:r>
      <w:r w:rsidR="003106F5" w:rsidRPr="00AE7DA1">
        <w:rPr>
          <w:i/>
          <w:lang w:val="en-US"/>
        </w:rPr>
        <w:t>n Clay</w:t>
      </w:r>
      <w:r w:rsidR="00FD638B" w:rsidRPr="0059317C">
        <w:rPr>
          <w:rFonts w:eastAsia="Times New Roman"/>
          <w:szCs w:val="20"/>
          <w:lang w:val="en-US"/>
        </w:rPr>
        <w:t xml:space="preserve">, </w:t>
      </w:r>
      <w:r w:rsidR="00EF7F00" w:rsidRPr="0059317C">
        <w:rPr>
          <w:rFonts w:eastAsia="Times New Roman"/>
          <w:szCs w:val="20"/>
          <w:lang w:val="en-US"/>
        </w:rPr>
        <w:t xml:space="preserve">pp. 20-21, </w:t>
      </w:r>
      <w:r w:rsidR="00EA4F8F" w:rsidRPr="0059317C">
        <w:rPr>
          <w:rFonts w:eastAsia="Times New Roman"/>
          <w:i/>
          <w:szCs w:val="20"/>
          <w:lang w:val="en-US"/>
        </w:rPr>
        <w:t>passim</w:t>
      </w:r>
      <w:r w:rsidR="00FD638B" w:rsidRPr="0059317C">
        <w:rPr>
          <w:rFonts w:eastAsia="Times New Roman"/>
          <w:szCs w:val="20"/>
          <w:lang w:val="en-US"/>
        </w:rPr>
        <w:t>)</w:t>
      </w:r>
      <w:r w:rsidR="008335FE" w:rsidRPr="0059317C">
        <w:rPr>
          <w:rFonts w:eastAsia="Times New Roman"/>
          <w:szCs w:val="20"/>
          <w:lang w:val="en-US"/>
        </w:rPr>
        <w:t xml:space="preserve">. </w:t>
      </w:r>
      <w:r w:rsidR="006033B6" w:rsidRPr="0059317C">
        <w:rPr>
          <w:rFonts w:eastAsia="Times New Roman"/>
          <w:szCs w:val="20"/>
          <w:lang w:val="en-US"/>
        </w:rPr>
        <w:t xml:space="preserve"> </w:t>
      </w:r>
      <w:r w:rsidR="008335FE" w:rsidRPr="0059317C">
        <w:rPr>
          <w:rFonts w:eastAsia="Times New Roman"/>
          <w:szCs w:val="20"/>
          <w:lang w:val="en-US"/>
        </w:rPr>
        <w:t>The maps cited, some of which are outdated, often g</w:t>
      </w:r>
      <w:r w:rsidR="00240B9E" w:rsidRPr="0059317C">
        <w:rPr>
          <w:rFonts w:eastAsia="Times New Roman"/>
          <w:szCs w:val="20"/>
          <w:lang w:val="en-US"/>
        </w:rPr>
        <w:t>i</w:t>
      </w:r>
      <w:r w:rsidR="008335FE" w:rsidRPr="0059317C">
        <w:rPr>
          <w:rFonts w:eastAsia="Times New Roman"/>
          <w:szCs w:val="20"/>
          <w:lang w:val="en-US"/>
        </w:rPr>
        <w:t xml:space="preserve">ve several possibilities for the mineralogy of a pottery thin-section, and the petrographer might then choose one region over another based on other non-geological, often subjective, criteria, such as what one might expect for a specific period based </w:t>
      </w:r>
      <w:r w:rsidR="00FA4787" w:rsidRPr="0059317C">
        <w:rPr>
          <w:rFonts w:eastAsia="Times New Roman"/>
          <w:szCs w:val="20"/>
          <w:lang w:val="en-US"/>
        </w:rPr>
        <w:t>upo</w:t>
      </w:r>
      <w:r w:rsidR="008335FE" w:rsidRPr="0059317C">
        <w:rPr>
          <w:rFonts w:eastAsia="Times New Roman"/>
          <w:szCs w:val="20"/>
          <w:lang w:val="en-US"/>
        </w:rPr>
        <w:t>n the available archaeological evidence.  Once that petrographic profile ha</w:t>
      </w:r>
      <w:r w:rsidR="00FA4787" w:rsidRPr="0059317C">
        <w:rPr>
          <w:rFonts w:eastAsia="Times New Roman"/>
          <w:szCs w:val="20"/>
          <w:lang w:val="en-US"/>
        </w:rPr>
        <w:t>s</w:t>
      </w:r>
      <w:r w:rsidR="008335FE" w:rsidRPr="0059317C">
        <w:rPr>
          <w:rFonts w:eastAsia="Times New Roman"/>
          <w:szCs w:val="20"/>
          <w:lang w:val="en-US"/>
        </w:rPr>
        <w:t xml:space="preserve"> been assigned to that region, it might </w:t>
      </w:r>
      <w:r w:rsidR="00FA4787" w:rsidRPr="0059317C">
        <w:rPr>
          <w:rFonts w:eastAsia="Times New Roman"/>
          <w:szCs w:val="20"/>
          <w:lang w:val="en-US"/>
        </w:rPr>
        <w:t xml:space="preserve">then </w:t>
      </w:r>
      <w:r w:rsidR="008335FE" w:rsidRPr="0059317C">
        <w:rPr>
          <w:rFonts w:eastAsia="Times New Roman"/>
          <w:szCs w:val="20"/>
          <w:lang w:val="en-US"/>
        </w:rPr>
        <w:t xml:space="preserve">be applied uncritically to other thin-section identifications, in </w:t>
      </w:r>
      <w:r w:rsidR="00FA4787" w:rsidRPr="0059317C">
        <w:rPr>
          <w:rFonts w:eastAsia="Times New Roman"/>
          <w:szCs w:val="20"/>
          <w:lang w:val="en-US"/>
        </w:rPr>
        <w:t xml:space="preserve">a </w:t>
      </w:r>
      <w:r w:rsidR="008335FE" w:rsidRPr="0059317C">
        <w:rPr>
          <w:rFonts w:eastAsia="Times New Roman"/>
          <w:szCs w:val="20"/>
          <w:lang w:val="en-US"/>
        </w:rPr>
        <w:t>circular reasoning fashion.</w:t>
      </w:r>
      <w:r w:rsidR="00FA4787" w:rsidRPr="0059317C">
        <w:rPr>
          <w:rFonts w:eastAsia="Times New Roman"/>
          <w:szCs w:val="20"/>
          <w:lang w:val="en-US"/>
        </w:rPr>
        <w:t xml:space="preserve">  </w:t>
      </w:r>
    </w:p>
    <w:p w14:paraId="4FE98ADF" w14:textId="77777777" w:rsidR="008E72D3" w:rsidRPr="0059317C" w:rsidRDefault="008E72D3" w:rsidP="00B65463">
      <w:pPr>
        <w:widowControl w:val="0"/>
        <w:autoSpaceDE w:val="0"/>
        <w:autoSpaceDN w:val="0"/>
        <w:adjustRightInd w:val="0"/>
        <w:spacing w:after="0" w:line="240" w:lineRule="auto"/>
        <w:rPr>
          <w:rFonts w:eastAsia="Times New Roman"/>
          <w:szCs w:val="20"/>
          <w:lang w:val="en-US"/>
        </w:rPr>
      </w:pPr>
    </w:p>
    <w:p w14:paraId="4D816B32" w14:textId="77777777" w:rsidR="004D223C" w:rsidRPr="0059317C" w:rsidRDefault="00FA4787" w:rsidP="00B65463">
      <w:pPr>
        <w:widowControl w:val="0"/>
        <w:autoSpaceDE w:val="0"/>
        <w:autoSpaceDN w:val="0"/>
        <w:adjustRightInd w:val="0"/>
        <w:spacing w:after="0" w:line="240" w:lineRule="auto"/>
        <w:rPr>
          <w:rFonts w:eastAsia="Times New Roman"/>
          <w:szCs w:val="20"/>
          <w:lang w:val="en-US"/>
        </w:rPr>
      </w:pPr>
      <w:r w:rsidRPr="0059317C">
        <w:rPr>
          <w:rFonts w:eastAsia="Times New Roman"/>
          <w:szCs w:val="20"/>
          <w:lang w:val="en-US"/>
        </w:rPr>
        <w:t>Goren has used this approach in other studies.</w:t>
      </w:r>
      <w:r w:rsidRPr="0059317C">
        <w:rPr>
          <w:rStyle w:val="FootnoteReference"/>
          <w:rFonts w:eastAsia="Times New Roman"/>
          <w:szCs w:val="20"/>
          <w:lang w:val="en-US"/>
        </w:rPr>
        <w:footnoteReference w:id="11"/>
      </w:r>
      <w:r w:rsidRPr="0059317C">
        <w:rPr>
          <w:rFonts w:eastAsia="Times New Roman"/>
          <w:szCs w:val="20"/>
          <w:lang w:val="en-US"/>
        </w:rPr>
        <w:t xml:space="preserve">  It is not known to what extent it was used in the Tell el-Dab`a study.</w:t>
      </w:r>
      <w:r w:rsidR="00E722AE" w:rsidRPr="0059317C">
        <w:rPr>
          <w:rFonts w:eastAsia="Times New Roman"/>
          <w:szCs w:val="20"/>
          <w:lang w:val="en-US"/>
        </w:rPr>
        <w:t xml:space="preserve"> </w:t>
      </w:r>
      <w:r w:rsidR="008E72D3" w:rsidRPr="0059317C">
        <w:rPr>
          <w:rFonts w:eastAsia="Times New Roman"/>
          <w:szCs w:val="20"/>
          <w:lang w:val="en-US"/>
        </w:rPr>
        <w:t xml:space="preserve"> </w:t>
      </w:r>
      <w:r w:rsidR="00E722AE" w:rsidRPr="0059317C">
        <w:rPr>
          <w:rFonts w:eastAsia="Times New Roman"/>
          <w:szCs w:val="20"/>
          <w:lang w:val="en-US"/>
        </w:rPr>
        <w:t xml:space="preserve">Since the eastern Mediterranean littoral was subject to frequent incursions of the Tethys Sea, as well as drainage from the adjacent hills and mountains, clays there are especially difficult to distinguish from one another petrographically.  </w:t>
      </w:r>
    </w:p>
    <w:p w14:paraId="78FA435D" w14:textId="77777777" w:rsidR="00B65463" w:rsidRPr="0059317C" w:rsidRDefault="00B65463" w:rsidP="00B65463">
      <w:pPr>
        <w:widowControl w:val="0"/>
        <w:autoSpaceDE w:val="0"/>
        <w:autoSpaceDN w:val="0"/>
        <w:adjustRightInd w:val="0"/>
        <w:spacing w:after="0" w:line="240" w:lineRule="auto"/>
        <w:rPr>
          <w:rFonts w:eastAsia="Times New Roman"/>
          <w:szCs w:val="20"/>
          <w:lang w:val="en-US"/>
        </w:rPr>
      </w:pPr>
    </w:p>
    <w:p w14:paraId="33F73DB3" w14:textId="77777777" w:rsidR="00D85EE9" w:rsidRPr="0059317C" w:rsidRDefault="00D85EE9" w:rsidP="00D85EE9">
      <w:pPr>
        <w:widowControl w:val="0"/>
        <w:autoSpaceDE w:val="0"/>
        <w:autoSpaceDN w:val="0"/>
        <w:adjustRightInd w:val="0"/>
        <w:spacing w:after="0" w:line="240" w:lineRule="auto"/>
        <w:rPr>
          <w:rFonts w:eastAsia="Times New Roman"/>
          <w:szCs w:val="20"/>
          <w:lang w:val="en-US"/>
        </w:rPr>
      </w:pPr>
      <w:r w:rsidRPr="0059317C">
        <w:rPr>
          <w:rFonts w:eastAsia="Times New Roman"/>
          <w:szCs w:val="20"/>
          <w:lang w:val="en-US"/>
        </w:rPr>
        <w:t xml:space="preserve">8) No heavy mineral separation and analysis, which can often provide further </w:t>
      </w:r>
      <w:r w:rsidRPr="0059317C">
        <w:rPr>
          <w:rFonts w:eastAsia="Times New Roman"/>
          <w:szCs w:val="20"/>
          <w:lang w:val="en-US"/>
        </w:rPr>
        <w:lastRenderedPageBreak/>
        <w:t>clues for clay provenances, was carried out.</w:t>
      </w:r>
    </w:p>
    <w:p w14:paraId="2F06B9B2" w14:textId="77777777" w:rsidR="00D85EE9" w:rsidRPr="0059317C" w:rsidRDefault="00D85EE9" w:rsidP="00D85EE9">
      <w:pPr>
        <w:widowControl w:val="0"/>
        <w:autoSpaceDE w:val="0"/>
        <w:autoSpaceDN w:val="0"/>
        <w:adjustRightInd w:val="0"/>
        <w:spacing w:after="0" w:line="240" w:lineRule="auto"/>
        <w:rPr>
          <w:rFonts w:eastAsia="Times New Roman"/>
          <w:szCs w:val="20"/>
          <w:lang w:val="en-US"/>
        </w:rPr>
      </w:pPr>
    </w:p>
    <w:p w14:paraId="300EA7F3" w14:textId="77777777" w:rsidR="00B65463" w:rsidRPr="0059317C" w:rsidRDefault="00D85EE9" w:rsidP="00B65463">
      <w:pPr>
        <w:widowControl w:val="0"/>
        <w:autoSpaceDE w:val="0"/>
        <w:autoSpaceDN w:val="0"/>
        <w:adjustRightInd w:val="0"/>
        <w:spacing w:after="0" w:line="240" w:lineRule="auto"/>
        <w:rPr>
          <w:rFonts w:eastAsia="Times New Roman"/>
          <w:szCs w:val="20"/>
          <w:lang w:val="en-US"/>
        </w:rPr>
      </w:pPr>
      <w:r w:rsidRPr="0059317C">
        <w:rPr>
          <w:rFonts w:eastAsia="Times New Roman"/>
          <w:szCs w:val="20"/>
          <w:lang w:val="en-US"/>
        </w:rPr>
        <w:t>9</w:t>
      </w:r>
      <w:r w:rsidR="00B65463" w:rsidRPr="0059317C">
        <w:rPr>
          <w:rFonts w:eastAsia="Times New Roman"/>
          <w:szCs w:val="20"/>
          <w:lang w:val="en-US"/>
        </w:rPr>
        <w:t>)  Thin-sections were sometimes bypassed in favor of unorthodox</w:t>
      </w:r>
      <w:r w:rsidR="005875D9" w:rsidRPr="0059317C">
        <w:rPr>
          <w:rFonts w:eastAsia="Times New Roman"/>
          <w:szCs w:val="20"/>
          <w:lang w:val="en-US"/>
        </w:rPr>
        <w:t xml:space="preserve"> </w:t>
      </w:r>
      <w:r w:rsidR="00B65463" w:rsidRPr="0059317C">
        <w:rPr>
          <w:rFonts w:eastAsia="Times New Roman"/>
          <w:szCs w:val="20"/>
          <w:lang w:val="en-US"/>
        </w:rPr>
        <w:t>petrographic techniques</w:t>
      </w:r>
      <w:r w:rsidR="005875D9" w:rsidRPr="0059317C">
        <w:rPr>
          <w:rFonts w:eastAsia="Times New Roman"/>
          <w:szCs w:val="20"/>
          <w:lang w:val="en-US"/>
        </w:rPr>
        <w:t xml:space="preserve"> developed by Goren</w:t>
      </w:r>
      <w:r w:rsidR="00B65463" w:rsidRPr="0059317C">
        <w:rPr>
          <w:rFonts w:eastAsia="Times New Roman"/>
          <w:szCs w:val="20"/>
          <w:lang w:val="en-US"/>
        </w:rPr>
        <w:t>, including “scattered petrographic analysis”</w:t>
      </w:r>
      <w:r w:rsidR="001074E0" w:rsidRPr="0059317C">
        <w:rPr>
          <w:rFonts w:eastAsia="Times New Roman"/>
          <w:szCs w:val="20"/>
          <w:lang w:val="en-US"/>
        </w:rPr>
        <w:t xml:space="preserve"> (SPA),</w:t>
      </w:r>
      <w:r w:rsidR="00B65463" w:rsidRPr="0059317C">
        <w:rPr>
          <w:rFonts w:eastAsia="Times New Roman"/>
          <w:szCs w:val="20"/>
          <w:lang w:val="en-US"/>
        </w:rPr>
        <w:t xml:space="preserve"> “peeling,” and “blocking” (</w:t>
      </w:r>
      <w:r w:rsidR="00CE5312" w:rsidRPr="00AE7DA1">
        <w:rPr>
          <w:i/>
          <w:lang w:val="en-US"/>
        </w:rPr>
        <w:t xml:space="preserve">Inscribed </w:t>
      </w:r>
      <w:r w:rsidR="00CE5312">
        <w:rPr>
          <w:i/>
          <w:lang w:val="en-US"/>
        </w:rPr>
        <w:t>i</w:t>
      </w:r>
      <w:r w:rsidR="00CE5312" w:rsidRPr="00AE7DA1">
        <w:rPr>
          <w:i/>
          <w:lang w:val="en-US"/>
        </w:rPr>
        <w:t>n Clay</w:t>
      </w:r>
      <w:r w:rsidR="00B65463" w:rsidRPr="0059317C">
        <w:rPr>
          <w:rFonts w:eastAsia="Times New Roman"/>
          <w:szCs w:val="20"/>
          <w:lang w:val="en-US"/>
        </w:rPr>
        <w:t xml:space="preserve">, pp. 11-12).  The </w:t>
      </w:r>
      <w:r w:rsidR="005875D9" w:rsidRPr="0059317C">
        <w:rPr>
          <w:rFonts w:eastAsia="Times New Roman"/>
          <w:szCs w:val="20"/>
          <w:lang w:val="en-US"/>
        </w:rPr>
        <w:t xml:space="preserve">goal was to do minimal damage to samples, but the </w:t>
      </w:r>
      <w:r w:rsidR="00B65463" w:rsidRPr="0059317C">
        <w:rPr>
          <w:rFonts w:eastAsia="Times New Roman"/>
          <w:szCs w:val="20"/>
          <w:lang w:val="en-US"/>
        </w:rPr>
        <w:t>reliability</w:t>
      </w:r>
      <w:r w:rsidR="005875D9" w:rsidRPr="0059317C">
        <w:rPr>
          <w:rFonts w:eastAsia="Times New Roman"/>
          <w:szCs w:val="20"/>
          <w:lang w:val="en-US"/>
        </w:rPr>
        <w:t xml:space="preserve"> </w:t>
      </w:r>
      <w:r w:rsidR="00B65463" w:rsidRPr="0059317C">
        <w:rPr>
          <w:rFonts w:eastAsia="Times New Roman"/>
          <w:szCs w:val="20"/>
          <w:lang w:val="en-US"/>
        </w:rPr>
        <w:t>of these non-destructive techniques is uncertain.</w:t>
      </w:r>
      <w:r w:rsidR="005875D9" w:rsidRPr="0059317C">
        <w:rPr>
          <w:rFonts w:eastAsia="Times New Roman"/>
          <w:szCs w:val="20"/>
          <w:lang w:val="en-US"/>
        </w:rPr>
        <w:t xml:space="preserve">  </w:t>
      </w:r>
    </w:p>
    <w:p w14:paraId="3D4DD74A" w14:textId="77777777" w:rsidR="00594394" w:rsidRPr="0059317C" w:rsidRDefault="00594394" w:rsidP="0060036F">
      <w:pPr>
        <w:widowControl w:val="0"/>
        <w:autoSpaceDE w:val="0"/>
        <w:autoSpaceDN w:val="0"/>
        <w:adjustRightInd w:val="0"/>
        <w:spacing w:after="0" w:line="240" w:lineRule="auto"/>
        <w:rPr>
          <w:rFonts w:eastAsia="Times New Roman"/>
          <w:szCs w:val="20"/>
          <w:lang w:val="en-US"/>
        </w:rPr>
      </w:pPr>
    </w:p>
    <w:p w14:paraId="6E490CB2" w14:textId="77777777" w:rsidR="00B65463" w:rsidRPr="0059317C" w:rsidRDefault="00D85EE9" w:rsidP="00B65463">
      <w:pPr>
        <w:widowControl w:val="0"/>
        <w:autoSpaceDE w:val="0"/>
        <w:autoSpaceDN w:val="0"/>
        <w:adjustRightInd w:val="0"/>
        <w:spacing w:after="0" w:line="240" w:lineRule="auto"/>
        <w:rPr>
          <w:rFonts w:eastAsia="Times New Roman"/>
          <w:szCs w:val="20"/>
          <w:lang w:val="en-US"/>
        </w:rPr>
      </w:pPr>
      <w:r w:rsidRPr="0059317C">
        <w:rPr>
          <w:rFonts w:eastAsia="Times New Roman"/>
          <w:szCs w:val="20"/>
          <w:lang w:val="en-US"/>
        </w:rPr>
        <w:t>10</w:t>
      </w:r>
      <w:r w:rsidR="00B65463" w:rsidRPr="0059317C">
        <w:rPr>
          <w:rFonts w:eastAsia="Times New Roman"/>
          <w:szCs w:val="20"/>
          <w:lang w:val="en-US"/>
        </w:rPr>
        <w:t xml:space="preserve">) No rigorous statistical tests, using as many </w:t>
      </w:r>
      <w:r w:rsidR="007A4DDC" w:rsidRPr="0059317C">
        <w:rPr>
          <w:rFonts w:eastAsia="Times New Roman"/>
          <w:szCs w:val="20"/>
          <w:lang w:val="en-US"/>
        </w:rPr>
        <w:t>measured</w:t>
      </w:r>
      <w:r w:rsidR="00B65463" w:rsidRPr="0059317C">
        <w:rPr>
          <w:rFonts w:eastAsia="Times New Roman"/>
          <w:szCs w:val="20"/>
          <w:lang w:val="en-US"/>
        </w:rPr>
        <w:t xml:space="preserve"> petrographic characters </w:t>
      </w:r>
      <w:r w:rsidR="00BC0711" w:rsidRPr="0059317C">
        <w:rPr>
          <w:rFonts w:eastAsia="Times New Roman"/>
          <w:szCs w:val="20"/>
          <w:lang w:val="en-US"/>
        </w:rPr>
        <w:t xml:space="preserve">and features </w:t>
      </w:r>
      <w:r w:rsidR="00B65463" w:rsidRPr="0059317C">
        <w:rPr>
          <w:rFonts w:eastAsia="Times New Roman"/>
          <w:szCs w:val="20"/>
          <w:lang w:val="en-US"/>
        </w:rPr>
        <w:t xml:space="preserve">as possible, were </w:t>
      </w:r>
      <w:r w:rsidR="007A4DDC" w:rsidRPr="0059317C">
        <w:rPr>
          <w:rFonts w:eastAsia="Times New Roman"/>
          <w:szCs w:val="20"/>
          <w:lang w:val="en-US"/>
        </w:rPr>
        <w:t>done</w:t>
      </w:r>
      <w:r w:rsidR="00B65463" w:rsidRPr="0059317C">
        <w:rPr>
          <w:rFonts w:eastAsia="Times New Roman"/>
          <w:szCs w:val="20"/>
          <w:lang w:val="en-US"/>
        </w:rPr>
        <w:t xml:space="preserve"> to define </w:t>
      </w:r>
      <w:bookmarkStart w:id="20" w:name="_Hlk4044978"/>
      <w:r w:rsidR="00B65463" w:rsidRPr="0059317C">
        <w:rPr>
          <w:rFonts w:eastAsia="Times New Roman"/>
          <w:szCs w:val="20"/>
          <w:lang w:val="en-US"/>
        </w:rPr>
        <w:t xml:space="preserve">the 11 </w:t>
      </w:r>
      <w:r w:rsidR="0075017A" w:rsidRPr="0059317C">
        <w:rPr>
          <w:rFonts w:eastAsia="Times New Roman"/>
          <w:szCs w:val="20"/>
          <w:lang w:val="en-US"/>
        </w:rPr>
        <w:t>Levantine</w:t>
      </w:r>
      <w:r w:rsidR="00B65463" w:rsidRPr="0059317C">
        <w:rPr>
          <w:rFonts w:eastAsia="Times New Roman"/>
          <w:szCs w:val="20"/>
          <w:lang w:val="en-US"/>
        </w:rPr>
        <w:t xml:space="preserve"> groups</w:t>
      </w:r>
      <w:bookmarkEnd w:id="20"/>
      <w:r w:rsidR="00B65463" w:rsidRPr="0059317C">
        <w:rPr>
          <w:rFonts w:eastAsia="Times New Roman"/>
          <w:szCs w:val="20"/>
          <w:lang w:val="en-US"/>
        </w:rPr>
        <w:t>.</w:t>
      </w:r>
    </w:p>
    <w:p w14:paraId="0378E834" w14:textId="77777777" w:rsidR="00B65463" w:rsidRPr="0059317C" w:rsidRDefault="00B65463" w:rsidP="00B65463">
      <w:pPr>
        <w:widowControl w:val="0"/>
        <w:autoSpaceDE w:val="0"/>
        <w:autoSpaceDN w:val="0"/>
        <w:adjustRightInd w:val="0"/>
        <w:spacing w:after="0" w:line="240" w:lineRule="auto"/>
        <w:rPr>
          <w:rFonts w:eastAsia="Times New Roman"/>
          <w:szCs w:val="20"/>
          <w:lang w:val="en-US"/>
        </w:rPr>
      </w:pPr>
    </w:p>
    <w:p w14:paraId="5070B6C8" w14:textId="442018AD" w:rsidR="00B65463" w:rsidRPr="0059317C" w:rsidRDefault="0007080C" w:rsidP="00B65463">
      <w:pPr>
        <w:widowControl w:val="0"/>
        <w:autoSpaceDE w:val="0"/>
        <w:autoSpaceDN w:val="0"/>
        <w:adjustRightInd w:val="0"/>
        <w:spacing w:after="0" w:line="240" w:lineRule="auto"/>
        <w:rPr>
          <w:rFonts w:eastAsia="Times New Roman"/>
          <w:szCs w:val="20"/>
          <w:lang w:val="en-US"/>
        </w:rPr>
      </w:pPr>
      <w:r w:rsidRPr="0059317C">
        <w:rPr>
          <w:rFonts w:eastAsia="Times New Roman"/>
          <w:szCs w:val="20"/>
          <w:lang w:val="en-US"/>
        </w:rPr>
        <w:t>1</w:t>
      </w:r>
      <w:r w:rsidR="00D85EE9" w:rsidRPr="0059317C">
        <w:rPr>
          <w:rFonts w:eastAsia="Times New Roman"/>
          <w:szCs w:val="20"/>
          <w:lang w:val="en-US"/>
        </w:rPr>
        <w:t>1</w:t>
      </w:r>
      <w:r w:rsidR="00B65463" w:rsidRPr="0059317C">
        <w:rPr>
          <w:rFonts w:eastAsia="Times New Roman"/>
          <w:szCs w:val="20"/>
          <w:lang w:val="en-US"/>
        </w:rPr>
        <w:t xml:space="preserve">) </w:t>
      </w:r>
      <w:r w:rsidR="007A4DDC" w:rsidRPr="0059317C">
        <w:rPr>
          <w:rFonts w:eastAsia="Times New Roman"/>
          <w:szCs w:val="20"/>
          <w:lang w:val="en-US"/>
        </w:rPr>
        <w:t xml:space="preserve">The </w:t>
      </w:r>
      <w:r w:rsidR="00DE7E06" w:rsidRPr="0059317C">
        <w:rPr>
          <w:rFonts w:eastAsia="Times New Roman"/>
          <w:szCs w:val="20"/>
          <w:lang w:val="en-US"/>
        </w:rPr>
        <w:t>evidence</w:t>
      </w:r>
      <w:r w:rsidR="007A4DDC" w:rsidRPr="0059317C">
        <w:rPr>
          <w:rFonts w:eastAsia="Times New Roman"/>
          <w:szCs w:val="20"/>
          <w:lang w:val="en-US"/>
        </w:rPr>
        <w:t xml:space="preserve"> for </w:t>
      </w:r>
      <w:r w:rsidR="00E86CB6" w:rsidRPr="0059317C">
        <w:rPr>
          <w:rFonts w:eastAsia="Times New Roman"/>
          <w:szCs w:val="20"/>
          <w:lang w:val="en-US"/>
        </w:rPr>
        <w:t xml:space="preserve">a “reliability index” </w:t>
      </w:r>
      <w:r w:rsidR="00863BF1" w:rsidRPr="0059317C">
        <w:rPr>
          <w:rFonts w:eastAsia="Times New Roman"/>
          <w:szCs w:val="20"/>
          <w:lang w:val="en-US"/>
        </w:rPr>
        <w:t>in</w:t>
      </w:r>
      <w:r w:rsidR="00E86CB6" w:rsidRPr="0059317C">
        <w:rPr>
          <w:rFonts w:eastAsia="Times New Roman"/>
          <w:szCs w:val="20"/>
          <w:lang w:val="en-US"/>
        </w:rPr>
        <w:t xml:space="preserve"> assigning a sample to </w:t>
      </w:r>
      <w:r w:rsidR="00886DD2" w:rsidRPr="0059317C">
        <w:rPr>
          <w:rFonts w:eastAsia="Times New Roman"/>
          <w:szCs w:val="20"/>
          <w:lang w:val="en-US"/>
        </w:rPr>
        <w:t>one of the</w:t>
      </w:r>
      <w:r w:rsidR="00E86CB6" w:rsidRPr="0059317C">
        <w:rPr>
          <w:rFonts w:eastAsia="Times New Roman"/>
          <w:szCs w:val="20"/>
          <w:lang w:val="en-US"/>
        </w:rPr>
        <w:t xml:space="preserve"> 11 regional groups</w:t>
      </w:r>
      <w:r w:rsidR="00695948" w:rsidRPr="0059317C">
        <w:rPr>
          <w:rFonts w:eastAsia="Times New Roman"/>
          <w:szCs w:val="20"/>
          <w:lang w:val="en-US"/>
        </w:rPr>
        <w:t>,</w:t>
      </w:r>
      <w:r w:rsidR="00E86CB6" w:rsidRPr="0059317C">
        <w:rPr>
          <w:rFonts w:eastAsia="Times New Roman"/>
          <w:szCs w:val="20"/>
          <w:lang w:val="en-US"/>
        </w:rPr>
        <w:t xml:space="preserve"> based on </w:t>
      </w:r>
      <w:r w:rsidR="00252ED2" w:rsidRPr="0059317C">
        <w:rPr>
          <w:rFonts w:eastAsia="Times New Roman"/>
          <w:szCs w:val="20"/>
          <w:lang w:val="en-US"/>
        </w:rPr>
        <w:t xml:space="preserve">the </w:t>
      </w:r>
      <w:r w:rsidR="00E86CB6" w:rsidRPr="0059317C">
        <w:rPr>
          <w:rFonts w:eastAsia="Times New Roman"/>
          <w:szCs w:val="20"/>
          <w:lang w:val="en-US"/>
        </w:rPr>
        <w:t xml:space="preserve">size and </w:t>
      </w:r>
      <w:r w:rsidR="00695948" w:rsidRPr="0059317C">
        <w:rPr>
          <w:rFonts w:eastAsia="Times New Roman"/>
          <w:szCs w:val="20"/>
          <w:lang w:val="en-US"/>
        </w:rPr>
        <w:t xml:space="preserve">the </w:t>
      </w:r>
      <w:r w:rsidR="00E86CB6" w:rsidRPr="0059317C">
        <w:rPr>
          <w:rFonts w:eastAsia="Times New Roman"/>
          <w:szCs w:val="20"/>
          <w:lang w:val="en-US"/>
        </w:rPr>
        <w:t>qua</w:t>
      </w:r>
      <w:r w:rsidR="00E030E2" w:rsidRPr="0059317C">
        <w:rPr>
          <w:rFonts w:eastAsia="Times New Roman"/>
          <w:szCs w:val="20"/>
          <w:lang w:val="en-US"/>
        </w:rPr>
        <w:t>lity of the sample</w:t>
      </w:r>
      <w:r w:rsidR="00695948" w:rsidRPr="0059317C">
        <w:rPr>
          <w:rFonts w:eastAsia="Times New Roman"/>
          <w:szCs w:val="20"/>
          <w:lang w:val="en-US"/>
        </w:rPr>
        <w:t>,</w:t>
      </w:r>
      <w:r w:rsidR="00011971" w:rsidRPr="0059317C">
        <w:rPr>
          <w:rFonts w:eastAsia="Times New Roman"/>
          <w:szCs w:val="20"/>
          <w:lang w:val="en-US"/>
        </w:rPr>
        <w:t xml:space="preserve"> was not provided</w:t>
      </w:r>
      <w:r w:rsidR="00695948" w:rsidRPr="0059317C">
        <w:rPr>
          <w:rFonts w:eastAsia="Times New Roman"/>
          <w:szCs w:val="20"/>
          <w:lang w:val="en-US"/>
        </w:rPr>
        <w:t>,</w:t>
      </w:r>
      <w:r w:rsidR="00D44698" w:rsidRPr="0059317C">
        <w:rPr>
          <w:rFonts w:eastAsia="Times New Roman"/>
          <w:szCs w:val="20"/>
          <w:lang w:val="en-US"/>
        </w:rPr>
        <w:t xml:space="preserve"> so </w:t>
      </w:r>
      <w:r w:rsidR="00695948" w:rsidRPr="0059317C">
        <w:rPr>
          <w:rFonts w:eastAsia="Times New Roman"/>
          <w:szCs w:val="20"/>
          <w:lang w:val="en-US"/>
        </w:rPr>
        <w:t xml:space="preserve">their actual significance </w:t>
      </w:r>
      <w:r w:rsidR="00D44698" w:rsidRPr="0059317C">
        <w:rPr>
          <w:rFonts w:eastAsia="Times New Roman"/>
          <w:szCs w:val="20"/>
          <w:lang w:val="en-US"/>
        </w:rPr>
        <w:t>is uncertain</w:t>
      </w:r>
      <w:r w:rsidR="00695948" w:rsidRPr="0059317C">
        <w:rPr>
          <w:rFonts w:eastAsia="Times New Roman"/>
          <w:szCs w:val="20"/>
          <w:lang w:val="en-US"/>
        </w:rPr>
        <w:t>.</w:t>
      </w:r>
      <w:r w:rsidR="00011971" w:rsidRPr="0059317C">
        <w:rPr>
          <w:rFonts w:eastAsia="Times New Roman"/>
          <w:szCs w:val="20"/>
          <w:lang w:val="en-US"/>
        </w:rPr>
        <w:t xml:space="preserve">  </w:t>
      </w:r>
      <w:r w:rsidR="00695948" w:rsidRPr="0059317C">
        <w:rPr>
          <w:rFonts w:eastAsia="Times New Roman"/>
          <w:szCs w:val="20"/>
          <w:lang w:val="en-US"/>
        </w:rPr>
        <w:t xml:space="preserve">It is also not explained why five indices were used in the </w:t>
      </w:r>
      <w:r w:rsidR="00713D10" w:rsidRPr="0059317C">
        <w:rPr>
          <w:rFonts w:eastAsia="Times New Roman"/>
          <w:szCs w:val="20"/>
          <w:lang w:val="en-US"/>
        </w:rPr>
        <w:t xml:space="preserve">Amarna </w:t>
      </w:r>
      <w:r w:rsidR="005375BA">
        <w:rPr>
          <w:rFonts w:eastAsia="Times New Roman"/>
          <w:szCs w:val="20"/>
          <w:lang w:val="en-US"/>
        </w:rPr>
        <w:t xml:space="preserve">tablets </w:t>
      </w:r>
      <w:r w:rsidR="00713D10" w:rsidRPr="0059317C">
        <w:rPr>
          <w:rFonts w:eastAsia="Times New Roman"/>
          <w:szCs w:val="20"/>
          <w:lang w:val="en-US"/>
        </w:rPr>
        <w:t>study (“high,” “satisfactory,” “moderate,” “fair,” or “unreliable</w:t>
      </w:r>
      <w:r w:rsidR="00247419">
        <w:rPr>
          <w:rFonts w:eastAsia="Times New Roman"/>
          <w:szCs w:val="20"/>
          <w:lang w:val="en-US"/>
        </w:rPr>
        <w:t>;</w:t>
      </w:r>
      <w:r w:rsidR="00713D10" w:rsidRPr="0059317C">
        <w:rPr>
          <w:rFonts w:eastAsia="Times New Roman"/>
          <w:szCs w:val="20"/>
          <w:lang w:val="en-US"/>
        </w:rPr>
        <w:t>”</w:t>
      </w:r>
      <w:r w:rsidR="00247419">
        <w:rPr>
          <w:rFonts w:eastAsia="Times New Roman"/>
          <w:szCs w:val="20"/>
          <w:lang w:val="en-US"/>
        </w:rPr>
        <w:t xml:space="preserve"> see</w:t>
      </w:r>
      <w:r w:rsidR="00713D10" w:rsidRPr="0059317C">
        <w:rPr>
          <w:rFonts w:eastAsia="Times New Roman"/>
          <w:szCs w:val="20"/>
          <w:lang w:val="en-US"/>
        </w:rPr>
        <w:t xml:space="preserve"> </w:t>
      </w:r>
      <w:r w:rsidR="003106F5" w:rsidRPr="00AE7DA1">
        <w:rPr>
          <w:i/>
          <w:lang w:val="en-US"/>
        </w:rPr>
        <w:t xml:space="preserve">Inscribed </w:t>
      </w:r>
      <w:r w:rsidR="003106F5">
        <w:rPr>
          <w:i/>
          <w:lang w:val="en-US"/>
        </w:rPr>
        <w:t>i</w:t>
      </w:r>
      <w:r w:rsidR="003106F5" w:rsidRPr="00AE7DA1">
        <w:rPr>
          <w:i/>
          <w:lang w:val="en-US"/>
        </w:rPr>
        <w:t>n Clay</w:t>
      </w:r>
      <w:r w:rsidR="00713D10" w:rsidRPr="0059317C">
        <w:rPr>
          <w:rFonts w:eastAsia="Times New Roman"/>
          <w:szCs w:val="20"/>
          <w:lang w:val="en-US"/>
        </w:rPr>
        <w:t>, pp. 14-15) a</w:t>
      </w:r>
      <w:r w:rsidR="00420BD1">
        <w:rPr>
          <w:rFonts w:eastAsia="Times New Roman"/>
          <w:szCs w:val="20"/>
          <w:lang w:val="en-US"/>
        </w:rPr>
        <w:t>n</w:t>
      </w:r>
      <w:r w:rsidR="00713D10" w:rsidRPr="0059317C">
        <w:rPr>
          <w:rFonts w:eastAsia="Times New Roman"/>
          <w:szCs w:val="20"/>
          <w:lang w:val="en-US"/>
        </w:rPr>
        <w:t>d three in the</w:t>
      </w:r>
      <w:r w:rsidR="00011971" w:rsidRPr="0059317C">
        <w:rPr>
          <w:rFonts w:eastAsia="Times New Roman"/>
          <w:szCs w:val="20"/>
          <w:lang w:val="en-US"/>
        </w:rPr>
        <w:t xml:space="preserve"> Tell el-Dab`a study</w:t>
      </w:r>
      <w:r w:rsidR="00011971" w:rsidRPr="0059317C">
        <w:t xml:space="preserve"> </w:t>
      </w:r>
      <w:r w:rsidR="00011971" w:rsidRPr="0059317C">
        <w:rPr>
          <w:rFonts w:eastAsia="Times New Roman"/>
          <w:szCs w:val="20"/>
          <w:lang w:val="en-US"/>
        </w:rPr>
        <w:t xml:space="preserve">(A: the proposed origin is </w:t>
      </w:r>
      <w:r w:rsidR="00713D10" w:rsidRPr="0059317C">
        <w:rPr>
          <w:rFonts w:eastAsia="Times New Roman"/>
          <w:szCs w:val="20"/>
          <w:lang w:val="en-US"/>
        </w:rPr>
        <w:t>“</w:t>
      </w:r>
      <w:r w:rsidR="00011971" w:rsidRPr="0059317C">
        <w:rPr>
          <w:rFonts w:eastAsia="Times New Roman"/>
          <w:szCs w:val="20"/>
          <w:lang w:val="en-US"/>
        </w:rPr>
        <w:t>highly reliable</w:t>
      </w:r>
      <w:r w:rsidR="00713D10" w:rsidRPr="0059317C">
        <w:rPr>
          <w:rFonts w:eastAsia="Times New Roman"/>
          <w:szCs w:val="20"/>
          <w:lang w:val="en-US"/>
        </w:rPr>
        <w:t>”</w:t>
      </w:r>
      <w:r w:rsidR="00011971" w:rsidRPr="0059317C">
        <w:rPr>
          <w:rFonts w:eastAsia="Times New Roman"/>
          <w:szCs w:val="20"/>
          <w:lang w:val="en-US"/>
        </w:rPr>
        <w:t xml:space="preserve">; B: </w:t>
      </w:r>
      <w:r w:rsidR="00713D10" w:rsidRPr="0059317C">
        <w:rPr>
          <w:rFonts w:eastAsia="Times New Roman"/>
          <w:szCs w:val="20"/>
          <w:lang w:val="en-US"/>
        </w:rPr>
        <w:t>“</w:t>
      </w:r>
      <w:r w:rsidR="00011971" w:rsidRPr="0059317C">
        <w:rPr>
          <w:rFonts w:eastAsia="Times New Roman"/>
          <w:szCs w:val="20"/>
          <w:lang w:val="en-US"/>
        </w:rPr>
        <w:t>fairly reliable</w:t>
      </w:r>
      <w:r w:rsidR="00713D10" w:rsidRPr="0059317C">
        <w:rPr>
          <w:rFonts w:eastAsia="Times New Roman"/>
          <w:szCs w:val="20"/>
          <w:lang w:val="en-US"/>
        </w:rPr>
        <w:t>”</w:t>
      </w:r>
      <w:r w:rsidR="00011971" w:rsidRPr="0059317C">
        <w:rPr>
          <w:rFonts w:eastAsia="Times New Roman"/>
          <w:szCs w:val="20"/>
          <w:lang w:val="en-US"/>
        </w:rPr>
        <w:t xml:space="preserve">; </w:t>
      </w:r>
      <w:r w:rsidR="00D44698" w:rsidRPr="0059317C">
        <w:rPr>
          <w:rFonts w:eastAsia="Times New Roman"/>
          <w:szCs w:val="20"/>
          <w:lang w:val="en-US"/>
        </w:rPr>
        <w:t xml:space="preserve">and </w:t>
      </w:r>
      <w:r w:rsidR="00011971" w:rsidRPr="0059317C">
        <w:rPr>
          <w:rFonts w:eastAsia="Times New Roman"/>
          <w:szCs w:val="20"/>
          <w:lang w:val="en-US"/>
        </w:rPr>
        <w:t>C</w:t>
      </w:r>
      <w:r w:rsidR="00D44698" w:rsidRPr="0059317C">
        <w:rPr>
          <w:rFonts w:eastAsia="Times New Roman"/>
          <w:szCs w:val="20"/>
          <w:lang w:val="en-US"/>
        </w:rPr>
        <w:t xml:space="preserve">: </w:t>
      </w:r>
      <w:r w:rsidR="00713D10" w:rsidRPr="0059317C">
        <w:rPr>
          <w:rFonts w:eastAsia="Times New Roman"/>
          <w:szCs w:val="20"/>
          <w:lang w:val="en-US"/>
        </w:rPr>
        <w:t>“</w:t>
      </w:r>
      <w:r w:rsidR="00011971" w:rsidRPr="0059317C">
        <w:rPr>
          <w:rFonts w:eastAsia="Times New Roman"/>
          <w:szCs w:val="20"/>
          <w:lang w:val="en-US"/>
        </w:rPr>
        <w:t>poorly</w:t>
      </w:r>
      <w:r w:rsidR="00D44698" w:rsidRPr="0059317C">
        <w:rPr>
          <w:rFonts w:eastAsia="Times New Roman"/>
          <w:szCs w:val="20"/>
          <w:lang w:val="en-US"/>
        </w:rPr>
        <w:t xml:space="preserve"> reliable</w:t>
      </w:r>
      <w:r w:rsidR="009A309F">
        <w:rPr>
          <w:rFonts w:eastAsia="Times New Roman"/>
          <w:szCs w:val="20"/>
          <w:lang w:val="en-US"/>
        </w:rPr>
        <w:t>;</w:t>
      </w:r>
      <w:r w:rsidR="00713D10" w:rsidRPr="0059317C">
        <w:rPr>
          <w:rFonts w:eastAsia="Times New Roman"/>
          <w:szCs w:val="20"/>
          <w:lang w:val="en-US"/>
        </w:rPr>
        <w:t>”</w:t>
      </w:r>
      <w:r w:rsidR="00D44698" w:rsidRPr="0059317C">
        <w:rPr>
          <w:rFonts w:eastAsia="Times New Roman"/>
          <w:szCs w:val="20"/>
          <w:lang w:val="en-US"/>
        </w:rPr>
        <w:t xml:space="preserve"> </w:t>
      </w:r>
      <w:r w:rsidR="009A309F">
        <w:rPr>
          <w:rFonts w:eastAsia="Times New Roman"/>
          <w:szCs w:val="20"/>
          <w:lang w:val="en-US"/>
        </w:rPr>
        <w:t xml:space="preserve">see </w:t>
      </w:r>
      <w:r w:rsidR="00F06EE2">
        <w:rPr>
          <w:rFonts w:eastAsia="Times New Roman"/>
          <w:szCs w:val="20"/>
          <w:lang w:val="en-US"/>
        </w:rPr>
        <w:t>“</w:t>
      </w:r>
      <w:r w:rsidR="00F06EE2">
        <w:t>Daba Petrography</w:t>
      </w:r>
      <w:r w:rsidR="00F06EE2" w:rsidRPr="0059317C">
        <w:rPr>
          <w:rFonts w:eastAsia="Times New Roman"/>
          <w:szCs w:val="20"/>
          <w:lang w:val="en-US"/>
        </w:rPr>
        <w:t>,</w:t>
      </w:r>
      <w:r w:rsidR="00F06EE2">
        <w:t>”</w:t>
      </w:r>
      <w:r w:rsidR="00F06EE2">
        <w:rPr>
          <w:rFonts w:eastAsia="Times New Roman"/>
          <w:szCs w:val="20"/>
          <w:lang w:val="en-US"/>
        </w:rPr>
        <w:t xml:space="preserve"> </w:t>
      </w:r>
      <w:r w:rsidR="00D44698" w:rsidRPr="0059317C">
        <w:rPr>
          <w:rFonts w:eastAsia="Times New Roman"/>
          <w:szCs w:val="20"/>
          <w:lang w:val="en-US"/>
        </w:rPr>
        <w:t xml:space="preserve">p. 71) </w:t>
      </w:r>
      <w:r w:rsidR="0020121E" w:rsidRPr="0059317C">
        <w:rPr>
          <w:rFonts w:eastAsia="Times New Roman"/>
          <w:szCs w:val="20"/>
          <w:lang w:val="en-US"/>
        </w:rPr>
        <w:t>nor how those categories relate to one another.</w:t>
      </w:r>
    </w:p>
    <w:p w14:paraId="0F20F0B9" w14:textId="77777777" w:rsidR="00B65463" w:rsidRPr="0059317C" w:rsidRDefault="00B65463" w:rsidP="00B65463">
      <w:pPr>
        <w:widowControl w:val="0"/>
        <w:autoSpaceDE w:val="0"/>
        <w:autoSpaceDN w:val="0"/>
        <w:adjustRightInd w:val="0"/>
        <w:spacing w:after="0" w:line="240" w:lineRule="auto"/>
        <w:rPr>
          <w:rFonts w:eastAsia="Times New Roman"/>
          <w:szCs w:val="20"/>
          <w:lang w:val="en-US"/>
        </w:rPr>
      </w:pPr>
    </w:p>
    <w:p w14:paraId="7DBFA96B" w14:textId="1E5F70E7" w:rsidR="00B65463" w:rsidRDefault="00273F4D" w:rsidP="00550EBE">
      <w:pPr>
        <w:rPr>
          <w:rFonts w:eastAsia="Times New Roman"/>
          <w:szCs w:val="20"/>
          <w:lang w:val="en-US"/>
        </w:rPr>
      </w:pPr>
      <w:bookmarkStart w:id="21" w:name="_Hlk8545415"/>
      <w:r w:rsidRPr="0059317C">
        <w:rPr>
          <w:rFonts w:eastAsia="Times New Roman"/>
          <w:szCs w:val="20"/>
          <w:lang w:val="en-US"/>
        </w:rPr>
        <w:t>1</w:t>
      </w:r>
      <w:r w:rsidR="0007080C" w:rsidRPr="0059317C">
        <w:rPr>
          <w:rFonts w:eastAsia="Times New Roman"/>
          <w:szCs w:val="20"/>
          <w:lang w:val="en-US"/>
        </w:rPr>
        <w:t>2</w:t>
      </w:r>
      <w:r w:rsidRPr="0059317C">
        <w:rPr>
          <w:rFonts w:eastAsia="Times New Roman"/>
          <w:szCs w:val="20"/>
          <w:lang w:val="en-US"/>
        </w:rPr>
        <w:t xml:space="preserve">) </w:t>
      </w:r>
      <w:r w:rsidR="00E76C86" w:rsidRPr="0059317C">
        <w:rPr>
          <w:rFonts w:eastAsia="Times New Roman"/>
          <w:szCs w:val="20"/>
          <w:lang w:val="en-US"/>
        </w:rPr>
        <w:t>Goren’s use of chemical data, obtained by inductively coupled plasma atomic emission spectrometry and mass spectrometry (ICP-AES and ICP-MS), to bolster his petrographic analysis is methodologically flawed.  His ICP comparative database is too small to be of any value in statistically establishing provenances.</w:t>
      </w:r>
      <w:r w:rsidR="00226F74" w:rsidRPr="0059317C">
        <w:rPr>
          <w:rFonts w:eastAsia="Times New Roman"/>
          <w:szCs w:val="20"/>
          <w:lang w:val="en-US"/>
        </w:rPr>
        <w:t xml:space="preserve"> </w:t>
      </w:r>
      <w:r w:rsidR="00E76C86" w:rsidRPr="0059317C">
        <w:rPr>
          <w:rFonts w:eastAsia="Times New Roman"/>
          <w:szCs w:val="20"/>
          <w:lang w:val="en-US"/>
        </w:rPr>
        <w:t xml:space="preserve"> He is guilty of the same “methodological” errors—small chemical datasets and limited clay sampling—that he accuses me of, albeit more </w:t>
      </w:r>
      <w:r w:rsidR="004F6604">
        <w:rPr>
          <w:rFonts w:eastAsia="Times New Roman"/>
          <w:szCs w:val="20"/>
          <w:lang w:val="en-US"/>
        </w:rPr>
        <w:t>egregious</w:t>
      </w:r>
      <w:r w:rsidR="004F6604" w:rsidRPr="0059317C">
        <w:rPr>
          <w:rFonts w:eastAsia="Times New Roman"/>
          <w:szCs w:val="20"/>
          <w:lang w:val="en-US"/>
        </w:rPr>
        <w:t>ly</w:t>
      </w:r>
      <w:r w:rsidR="00550EBE" w:rsidRPr="0059317C">
        <w:rPr>
          <w:rFonts w:eastAsia="Times New Roman"/>
          <w:szCs w:val="20"/>
          <w:lang w:val="en-US"/>
        </w:rPr>
        <w:t xml:space="preserve">.  </w:t>
      </w:r>
      <w:r w:rsidR="0007080C" w:rsidRPr="0059317C">
        <w:rPr>
          <w:rFonts w:eastAsia="Times New Roman"/>
          <w:szCs w:val="20"/>
          <w:lang w:val="en-US"/>
        </w:rPr>
        <w:t>His</w:t>
      </w:r>
      <w:r w:rsidR="007D0581" w:rsidRPr="0059317C">
        <w:rPr>
          <w:rFonts w:eastAsia="Times New Roman"/>
          <w:szCs w:val="20"/>
          <w:lang w:val="en-US"/>
        </w:rPr>
        <w:t xml:space="preserve"> us</w:t>
      </w:r>
      <w:r w:rsidR="00E76C86" w:rsidRPr="0059317C">
        <w:rPr>
          <w:rFonts w:eastAsia="Times New Roman"/>
          <w:szCs w:val="20"/>
          <w:lang w:val="en-US"/>
        </w:rPr>
        <w:t xml:space="preserve">e of </w:t>
      </w:r>
      <w:r w:rsidR="0007080C" w:rsidRPr="0059317C">
        <w:rPr>
          <w:rFonts w:eastAsia="Times New Roman"/>
          <w:szCs w:val="20"/>
          <w:lang w:val="en-US"/>
        </w:rPr>
        <w:t>a</w:t>
      </w:r>
      <w:r w:rsidR="00224F47">
        <w:rPr>
          <w:rFonts w:eastAsia="Times New Roman"/>
          <w:szCs w:val="20"/>
          <w:lang w:val="en-US"/>
        </w:rPr>
        <w:t xml:space="preserve"> less</w:t>
      </w:r>
      <w:r w:rsidR="0007080C" w:rsidRPr="0059317C">
        <w:rPr>
          <w:rFonts w:eastAsia="Times New Roman"/>
          <w:szCs w:val="20"/>
          <w:lang w:val="en-US"/>
        </w:rPr>
        <w:t xml:space="preserve"> </w:t>
      </w:r>
      <w:r w:rsidR="00550EBE" w:rsidRPr="0059317C">
        <w:rPr>
          <w:rFonts w:eastAsia="Times New Roman"/>
          <w:szCs w:val="20"/>
          <w:lang w:val="en-US"/>
        </w:rPr>
        <w:t>precise</w:t>
      </w:r>
      <w:r w:rsidR="007D0581" w:rsidRPr="0059317C">
        <w:rPr>
          <w:rFonts w:eastAsia="Times New Roman"/>
          <w:szCs w:val="20"/>
          <w:lang w:val="en-US"/>
        </w:rPr>
        <w:t xml:space="preserve"> portable X-ray fluorescence instrument in the field</w:t>
      </w:r>
      <w:r w:rsidR="00550EBE" w:rsidRPr="0059317C">
        <w:rPr>
          <w:rFonts w:eastAsia="Times New Roman"/>
          <w:szCs w:val="20"/>
          <w:lang w:val="en-US"/>
        </w:rPr>
        <w:t xml:space="preserve"> to collect chemical data</w:t>
      </w:r>
      <w:r w:rsidR="007D0581" w:rsidRPr="0059317C">
        <w:rPr>
          <w:rFonts w:eastAsia="Times New Roman"/>
          <w:szCs w:val="20"/>
          <w:lang w:val="en-US"/>
        </w:rPr>
        <w:t xml:space="preserve"> </w:t>
      </w:r>
      <w:r w:rsidR="00550EBE" w:rsidRPr="0059317C">
        <w:rPr>
          <w:rFonts w:eastAsia="Times New Roman"/>
          <w:szCs w:val="20"/>
          <w:lang w:val="en-US"/>
        </w:rPr>
        <w:t xml:space="preserve">in </w:t>
      </w:r>
      <w:r w:rsidRPr="0059317C">
        <w:rPr>
          <w:rFonts w:eastAsia="Times New Roman"/>
          <w:szCs w:val="20"/>
          <w:lang w:val="en-US"/>
        </w:rPr>
        <w:t xml:space="preserve">support </w:t>
      </w:r>
      <w:r w:rsidR="00550EBE" w:rsidRPr="0059317C">
        <w:rPr>
          <w:rFonts w:eastAsia="Times New Roman"/>
          <w:szCs w:val="20"/>
          <w:lang w:val="en-US"/>
        </w:rPr>
        <w:t>of his</w:t>
      </w:r>
      <w:r w:rsidRPr="0059317C">
        <w:rPr>
          <w:rFonts w:eastAsia="Times New Roman"/>
          <w:szCs w:val="20"/>
          <w:lang w:val="en-US"/>
        </w:rPr>
        <w:t xml:space="preserve"> petrographic results</w:t>
      </w:r>
      <w:r w:rsidR="00550EBE" w:rsidRPr="0059317C">
        <w:rPr>
          <w:rFonts w:eastAsia="Times New Roman"/>
          <w:szCs w:val="20"/>
          <w:lang w:val="en-US"/>
        </w:rPr>
        <w:t xml:space="preserve"> is </w:t>
      </w:r>
      <w:r w:rsidR="00224F47">
        <w:rPr>
          <w:rFonts w:eastAsia="Times New Roman"/>
          <w:szCs w:val="20"/>
          <w:lang w:val="en-US"/>
        </w:rPr>
        <w:t>even more</w:t>
      </w:r>
      <w:r w:rsidR="00550EBE" w:rsidRPr="0059317C">
        <w:rPr>
          <w:rFonts w:eastAsia="Times New Roman"/>
          <w:szCs w:val="20"/>
          <w:lang w:val="en-US"/>
        </w:rPr>
        <w:t xml:space="preserve"> problematic</w:t>
      </w:r>
      <w:r w:rsidRPr="0059317C">
        <w:rPr>
          <w:rFonts w:eastAsia="Times New Roman"/>
          <w:szCs w:val="20"/>
          <w:lang w:val="en-US"/>
        </w:rPr>
        <w:t>.</w:t>
      </w:r>
      <w:bookmarkEnd w:id="19"/>
      <w:r w:rsidR="001D1251" w:rsidRPr="0059317C">
        <w:rPr>
          <w:rStyle w:val="FootnoteReference"/>
          <w:rFonts w:eastAsia="Times New Roman"/>
          <w:szCs w:val="20"/>
          <w:lang w:val="en-US"/>
        </w:rPr>
        <w:footnoteReference w:id="12"/>
      </w:r>
    </w:p>
    <w:p w14:paraId="0BA94341" w14:textId="7BD2EF06" w:rsidR="00885C33" w:rsidRDefault="008F30C4" w:rsidP="00885C33">
      <w:pPr>
        <w:widowControl w:val="0"/>
        <w:autoSpaceDE w:val="0"/>
        <w:autoSpaceDN w:val="0"/>
        <w:adjustRightInd w:val="0"/>
        <w:spacing w:after="0" w:line="240" w:lineRule="auto"/>
        <w:rPr>
          <w:rFonts w:eastAsia="Times New Roman"/>
          <w:szCs w:val="20"/>
          <w:lang w:val="en-US"/>
        </w:rPr>
      </w:pPr>
      <w:r>
        <w:rPr>
          <w:rFonts w:eastAsia="Times New Roman"/>
          <w:szCs w:val="20"/>
          <w:lang w:val="en-US"/>
        </w:rPr>
        <w:t>Many</w:t>
      </w:r>
      <w:r w:rsidR="001B3B6F" w:rsidRPr="0059317C">
        <w:rPr>
          <w:rFonts w:eastAsia="Times New Roman"/>
          <w:szCs w:val="20"/>
          <w:lang w:val="en-US"/>
        </w:rPr>
        <w:t xml:space="preserve"> </w:t>
      </w:r>
      <w:r w:rsidR="001B3B6F">
        <w:rPr>
          <w:rFonts w:eastAsia="Times New Roman"/>
          <w:szCs w:val="20"/>
          <w:lang w:val="en-US"/>
        </w:rPr>
        <w:t xml:space="preserve">of these </w:t>
      </w:r>
      <w:r w:rsidR="001B3B6F" w:rsidRPr="0059317C">
        <w:rPr>
          <w:rFonts w:eastAsia="Times New Roman"/>
          <w:szCs w:val="20"/>
          <w:lang w:val="en-US"/>
        </w:rPr>
        <w:t>point</w:t>
      </w:r>
      <w:r w:rsidR="001B3B6F">
        <w:rPr>
          <w:rFonts w:eastAsia="Times New Roman"/>
          <w:szCs w:val="20"/>
          <w:lang w:val="en-US"/>
        </w:rPr>
        <w:t>s</w:t>
      </w:r>
      <w:r w:rsidR="001B3B6F" w:rsidRPr="0059317C">
        <w:rPr>
          <w:rFonts w:eastAsia="Times New Roman"/>
          <w:szCs w:val="20"/>
          <w:lang w:val="en-US"/>
        </w:rPr>
        <w:t xml:space="preserve"> </w:t>
      </w:r>
      <w:r>
        <w:rPr>
          <w:rFonts w:eastAsia="Times New Roman"/>
          <w:szCs w:val="20"/>
          <w:lang w:val="en-US"/>
        </w:rPr>
        <w:t>are</w:t>
      </w:r>
      <w:r w:rsidR="001B3B6F" w:rsidRPr="0059317C">
        <w:rPr>
          <w:rFonts w:eastAsia="Times New Roman"/>
          <w:szCs w:val="20"/>
          <w:lang w:val="en-US"/>
        </w:rPr>
        <w:t xml:space="preserve"> further buttressed and elaborated upon in </w:t>
      </w:r>
      <w:r w:rsidR="001B3B6F">
        <w:rPr>
          <w:rFonts w:eastAsia="Times New Roman"/>
          <w:szCs w:val="20"/>
          <w:lang w:val="en-US"/>
        </w:rPr>
        <w:t>an</w:t>
      </w:r>
      <w:r w:rsidR="001B3B6F" w:rsidRPr="0059317C">
        <w:rPr>
          <w:rFonts w:eastAsia="Times New Roman"/>
          <w:szCs w:val="20"/>
          <w:lang w:val="en-US"/>
        </w:rPr>
        <w:t xml:space="preserve"> Addendum by Dr. Wnuk</w:t>
      </w:r>
      <w:r w:rsidR="001B3B6F">
        <w:rPr>
          <w:rFonts w:eastAsia="Times New Roman"/>
          <w:szCs w:val="20"/>
          <w:lang w:val="en-US"/>
        </w:rPr>
        <w:t>.</w:t>
      </w:r>
      <w:r w:rsidR="00885C33" w:rsidRPr="0059317C">
        <w:rPr>
          <w:rFonts w:eastAsia="Times New Roman"/>
          <w:szCs w:val="20"/>
          <w:lang w:val="en-US"/>
        </w:rPr>
        <w:t xml:space="preserve">, </w:t>
      </w:r>
      <w:r w:rsidR="00885C33">
        <w:rPr>
          <w:rFonts w:eastAsia="Times New Roman"/>
          <w:szCs w:val="20"/>
          <w:lang w:val="en-US"/>
        </w:rPr>
        <w:t xml:space="preserve">who has worked for the United States Geological Survey and as a consultant to private exploration companies in the Middle East and around the </w:t>
      </w:r>
      <w:r w:rsidR="00885C33">
        <w:rPr>
          <w:rFonts w:eastAsia="Times New Roman"/>
          <w:szCs w:val="20"/>
          <w:lang w:val="en-US"/>
        </w:rPr>
        <w:lastRenderedPageBreak/>
        <w:t xml:space="preserve">world since his graduation from Penn in 1984.  During his time at Penn and continuing until 1993, he served as my </w:t>
      </w:r>
      <w:r w:rsidR="00885C33" w:rsidRPr="0059317C">
        <w:rPr>
          <w:rFonts w:eastAsia="Times New Roman"/>
          <w:szCs w:val="20"/>
          <w:lang w:val="en-US"/>
        </w:rPr>
        <w:t>geological petrographer</w:t>
      </w:r>
      <w:r w:rsidR="00885C33">
        <w:rPr>
          <w:rFonts w:eastAsia="Times New Roman"/>
          <w:szCs w:val="20"/>
          <w:lang w:val="en-US"/>
        </w:rPr>
        <w:t xml:space="preserve">, </w:t>
      </w:r>
      <w:r w:rsidR="00885C33" w:rsidRPr="0059317C">
        <w:rPr>
          <w:rFonts w:eastAsia="Times New Roman"/>
          <w:szCs w:val="20"/>
          <w:lang w:val="en-US"/>
        </w:rPr>
        <w:t>carr</w:t>
      </w:r>
      <w:r w:rsidR="00885C33">
        <w:rPr>
          <w:rFonts w:eastAsia="Times New Roman"/>
          <w:szCs w:val="20"/>
          <w:lang w:val="en-US"/>
        </w:rPr>
        <w:t>ying</w:t>
      </w:r>
      <w:r w:rsidR="00885C33" w:rsidRPr="0059317C">
        <w:rPr>
          <w:rFonts w:eastAsia="Times New Roman"/>
          <w:szCs w:val="20"/>
          <w:lang w:val="en-US"/>
        </w:rPr>
        <w:t xml:space="preserve"> out stud</w:t>
      </w:r>
      <w:r w:rsidR="00885C33">
        <w:rPr>
          <w:rFonts w:eastAsia="Times New Roman"/>
          <w:szCs w:val="20"/>
          <w:lang w:val="en-US"/>
        </w:rPr>
        <w:t>ies</w:t>
      </w:r>
      <w:r w:rsidR="00885C33" w:rsidRPr="0059317C">
        <w:rPr>
          <w:rFonts w:eastAsia="Times New Roman"/>
          <w:szCs w:val="20"/>
          <w:lang w:val="en-US"/>
        </w:rPr>
        <w:t xml:space="preserve"> of </w:t>
      </w:r>
      <w:r w:rsidR="00885C33">
        <w:rPr>
          <w:rFonts w:eastAsia="Times New Roman"/>
          <w:szCs w:val="20"/>
          <w:lang w:val="en-US"/>
        </w:rPr>
        <w:t xml:space="preserve">pottery from </w:t>
      </w:r>
      <w:r w:rsidR="00885C33" w:rsidRPr="0059317C">
        <w:rPr>
          <w:rFonts w:eastAsia="Times New Roman"/>
          <w:szCs w:val="20"/>
          <w:lang w:val="en-US"/>
        </w:rPr>
        <w:t>the Baq`ah Valley (Jordan), Beth Shan (Israel), and Wadi al-Jubah (Yemen) p</w:t>
      </w:r>
      <w:r w:rsidR="00885C33">
        <w:rPr>
          <w:rFonts w:eastAsia="Times New Roman"/>
          <w:szCs w:val="20"/>
          <w:lang w:val="en-US"/>
        </w:rPr>
        <w:t>rojects</w:t>
      </w:r>
      <w:r w:rsidR="00885C33" w:rsidRPr="0059317C">
        <w:rPr>
          <w:rFonts w:eastAsia="Times New Roman"/>
          <w:szCs w:val="20"/>
          <w:lang w:val="en-US"/>
        </w:rPr>
        <w:t>.  The latter investigations integrated petrography into a pioneering ancient ceramic technology program at the Museum Applied Science Center for Archaeology (MASCA).</w:t>
      </w:r>
      <w:r w:rsidR="00885C33">
        <w:rPr>
          <w:rStyle w:val="FootnoteReference"/>
          <w:rFonts w:eastAsia="Times New Roman"/>
          <w:szCs w:val="20"/>
          <w:lang w:val="en-US"/>
        </w:rPr>
        <w:footnoteReference w:id="13"/>
      </w:r>
      <w:r w:rsidR="00885C33" w:rsidRPr="0059317C">
        <w:rPr>
          <w:rFonts w:eastAsia="Times New Roman"/>
          <w:szCs w:val="20"/>
          <w:lang w:val="en-US"/>
        </w:rPr>
        <w:t xml:space="preserve"> </w:t>
      </w:r>
    </w:p>
    <w:p w14:paraId="518262E8" w14:textId="77777777" w:rsidR="001B3B6F" w:rsidRPr="0059317C" w:rsidRDefault="001B3B6F" w:rsidP="00885C33">
      <w:pPr>
        <w:widowControl w:val="0"/>
        <w:autoSpaceDE w:val="0"/>
        <w:autoSpaceDN w:val="0"/>
        <w:adjustRightInd w:val="0"/>
        <w:spacing w:after="0" w:line="240" w:lineRule="auto"/>
        <w:rPr>
          <w:rFonts w:eastAsia="Times New Roman"/>
          <w:szCs w:val="20"/>
          <w:lang w:val="en-US"/>
        </w:rPr>
      </w:pPr>
    </w:p>
    <w:p w14:paraId="7785DD71" w14:textId="07272D75" w:rsidR="00885C33" w:rsidRDefault="00885C33" w:rsidP="00885C33">
      <w:pPr>
        <w:widowControl w:val="0"/>
        <w:autoSpaceDE w:val="0"/>
        <w:autoSpaceDN w:val="0"/>
        <w:adjustRightInd w:val="0"/>
        <w:spacing w:after="0" w:line="240" w:lineRule="auto"/>
        <w:rPr>
          <w:rFonts w:eastAsia="Times New Roman"/>
          <w:szCs w:val="20"/>
          <w:lang w:val="en-US"/>
        </w:rPr>
      </w:pPr>
      <w:r w:rsidRPr="00BD7953">
        <w:rPr>
          <w:rFonts w:eastAsia="Times New Roman"/>
          <w:szCs w:val="20"/>
          <w:lang w:val="en-US"/>
        </w:rPr>
        <w:t xml:space="preserve">Dr. Wnuk’s critique is based on the data collection and methodology provided by the Cohen-Weinberger and Goren paper, together with a more extended and thorough methodological discussion in the Goren and colleagues’ book on the Late Bronze Age </w:t>
      </w:r>
      <w:r>
        <w:rPr>
          <w:rFonts w:eastAsia="Times New Roman"/>
          <w:szCs w:val="20"/>
          <w:lang w:val="en-US"/>
        </w:rPr>
        <w:t xml:space="preserve">(LBA) </w:t>
      </w:r>
      <w:r w:rsidRPr="00BD7953">
        <w:rPr>
          <w:rFonts w:eastAsia="Times New Roman"/>
          <w:szCs w:val="20"/>
          <w:lang w:val="en-US"/>
        </w:rPr>
        <w:t xml:space="preserve">Amarna Letters, </w:t>
      </w:r>
      <w:r w:rsidRPr="00BD7953">
        <w:rPr>
          <w:rFonts w:eastAsia="Times New Roman"/>
          <w:i/>
          <w:szCs w:val="20"/>
          <w:lang w:val="en-US"/>
        </w:rPr>
        <w:t>Inscribed in Clay</w:t>
      </w:r>
      <w:r w:rsidRPr="00BD7953">
        <w:rPr>
          <w:rFonts w:eastAsia="Times New Roman"/>
          <w:i/>
          <w:szCs w:val="20"/>
          <w:vertAlign w:val="superscript"/>
          <w:lang w:val="en-US"/>
        </w:rPr>
        <w:footnoteReference w:id="14"/>
      </w:r>
      <w:r w:rsidRPr="00BD7953">
        <w:rPr>
          <w:rFonts w:eastAsia="Times New Roman"/>
          <w:i/>
          <w:szCs w:val="20"/>
          <w:lang w:val="en-US"/>
        </w:rPr>
        <w:t xml:space="preserve"> </w:t>
      </w:r>
      <w:r w:rsidRPr="00BD7953">
        <w:rPr>
          <w:rFonts w:eastAsia="Times New Roman"/>
          <w:szCs w:val="20"/>
          <w:lang w:val="en-US"/>
        </w:rPr>
        <w:t>(to which the</w:t>
      </w:r>
      <w:r w:rsidRPr="00BD7953">
        <w:rPr>
          <w:rFonts w:eastAsia="Times New Roman"/>
          <w:i/>
          <w:szCs w:val="20"/>
          <w:lang w:val="en-US"/>
        </w:rPr>
        <w:t xml:space="preserve"> </w:t>
      </w:r>
      <w:r w:rsidRPr="00BD7953">
        <w:rPr>
          <w:rFonts w:eastAsia="Times New Roman"/>
          <w:szCs w:val="20"/>
          <w:lang w:val="en-US"/>
        </w:rPr>
        <w:t xml:space="preserve">Cohen-Weinberger and Goren paper makes reference for clay provenancing) and other related Goren articles.  The Addendum is not meant as an exhaustive catalogue of every mistake, misinterpretation, or ambiguity by Goren of geologic methodology, interpretation, and terminology, because their sheer number is enormous and would overwhelm the non-geologic reader.  Several trenchant comments by Wnuk </w:t>
      </w:r>
      <w:r w:rsidR="00437420">
        <w:rPr>
          <w:rFonts w:eastAsia="Times New Roman"/>
          <w:szCs w:val="20"/>
          <w:lang w:val="en-US"/>
        </w:rPr>
        <w:t xml:space="preserve">(personal communication by email, March 18, 2019) </w:t>
      </w:r>
      <w:r w:rsidRPr="00BD7953">
        <w:rPr>
          <w:rFonts w:eastAsia="Times New Roman"/>
          <w:szCs w:val="20"/>
          <w:lang w:val="en-US"/>
        </w:rPr>
        <w:t>as he worked his way through the various Goren manuscripts perhaps best sum up his assessment of Goren and his colleagues’ work: “This is worse than I ever expected.  I literally have a page or two of [negative] comments per paragraph in some places…They have built a house of cards that is on a shaky foundation.”</w:t>
      </w:r>
      <w:r w:rsidR="00072E54">
        <w:rPr>
          <w:rFonts w:eastAsia="Times New Roman"/>
          <w:szCs w:val="20"/>
          <w:lang w:val="en-US"/>
        </w:rPr>
        <w:t xml:space="preserve"> </w:t>
      </w:r>
    </w:p>
    <w:p w14:paraId="658D272B" w14:textId="77777777" w:rsidR="00885C33" w:rsidRDefault="00885C33" w:rsidP="00885C33">
      <w:pPr>
        <w:widowControl w:val="0"/>
        <w:autoSpaceDE w:val="0"/>
        <w:autoSpaceDN w:val="0"/>
        <w:adjustRightInd w:val="0"/>
        <w:spacing w:after="0" w:line="240" w:lineRule="auto"/>
        <w:rPr>
          <w:rFonts w:eastAsia="Times New Roman"/>
          <w:szCs w:val="20"/>
          <w:lang w:val="en-US"/>
        </w:rPr>
      </w:pPr>
    </w:p>
    <w:p w14:paraId="732484D8" w14:textId="4C28217B" w:rsidR="00885C33" w:rsidRDefault="00885C33" w:rsidP="00885C33">
      <w:pPr>
        <w:widowControl w:val="0"/>
        <w:autoSpaceDE w:val="0"/>
        <w:autoSpaceDN w:val="0"/>
        <w:adjustRightInd w:val="0"/>
        <w:spacing w:after="0" w:line="240" w:lineRule="auto"/>
        <w:rPr>
          <w:rFonts w:eastAsia="Times New Roman"/>
          <w:szCs w:val="20"/>
          <w:lang w:val="en-US"/>
        </w:rPr>
      </w:pPr>
      <w:r>
        <w:rPr>
          <w:rFonts w:eastAsia="Times New Roman"/>
          <w:szCs w:val="20"/>
          <w:lang w:val="en-US"/>
        </w:rPr>
        <w:t xml:space="preserve">This opinion was seconded by another geological petrographer, Jack Donahue of the University of Pittsburgh, who was on the staff of the Bab edh-Dhra` Project and </w:t>
      </w:r>
      <w:r w:rsidRPr="0069340F">
        <w:rPr>
          <w:rFonts w:eastAsia="Times New Roman"/>
          <w:szCs w:val="20"/>
          <w:lang w:val="en-US"/>
        </w:rPr>
        <w:t>past editor of the Journal of Geoarchaeology</w:t>
      </w:r>
      <w:r>
        <w:rPr>
          <w:rFonts w:eastAsia="Times New Roman"/>
          <w:szCs w:val="20"/>
          <w:lang w:val="en-US"/>
        </w:rPr>
        <w:t xml:space="preserve">.  He emailed me </w:t>
      </w:r>
      <w:r w:rsidR="00CA5CD4">
        <w:rPr>
          <w:rFonts w:eastAsia="Times New Roman"/>
          <w:szCs w:val="20"/>
          <w:lang w:val="en-US"/>
        </w:rPr>
        <w:t>o</w:t>
      </w:r>
      <w:r>
        <w:rPr>
          <w:rFonts w:eastAsia="Times New Roman"/>
          <w:szCs w:val="20"/>
          <w:lang w:val="en-US"/>
        </w:rPr>
        <w:t xml:space="preserve">n July </w:t>
      </w:r>
      <w:r w:rsidR="00CA5CD4">
        <w:rPr>
          <w:rFonts w:eastAsia="Times New Roman"/>
          <w:szCs w:val="20"/>
          <w:lang w:val="en-US"/>
        </w:rPr>
        <w:t xml:space="preserve">23, </w:t>
      </w:r>
      <w:r>
        <w:rPr>
          <w:rFonts w:eastAsia="Times New Roman"/>
          <w:szCs w:val="20"/>
          <w:lang w:val="en-US"/>
        </w:rPr>
        <w:t>2004 to say that he had reviewed a 1996 article by Goren</w:t>
      </w:r>
      <w:r>
        <w:rPr>
          <w:rStyle w:val="FootnoteReference"/>
          <w:rFonts w:eastAsia="Times New Roman"/>
          <w:szCs w:val="20"/>
          <w:lang w:val="en-US"/>
        </w:rPr>
        <w:footnoteReference w:id="15"/>
      </w:r>
      <w:r>
        <w:rPr>
          <w:rFonts w:eastAsia="Times New Roman"/>
          <w:szCs w:val="20"/>
          <w:lang w:val="en-US"/>
        </w:rPr>
        <w:t xml:space="preserve"> on EB IV pottery from the southern Levant, which greatly concerned him and Dr. Schaub, as follows: </w:t>
      </w:r>
    </w:p>
    <w:p w14:paraId="5B0945B5" w14:textId="77777777" w:rsidR="00885C33" w:rsidRDefault="00885C33" w:rsidP="00885C33">
      <w:pPr>
        <w:widowControl w:val="0"/>
        <w:autoSpaceDE w:val="0"/>
        <w:autoSpaceDN w:val="0"/>
        <w:adjustRightInd w:val="0"/>
        <w:spacing w:after="0" w:line="240" w:lineRule="auto"/>
        <w:rPr>
          <w:rFonts w:eastAsia="Times New Roman"/>
          <w:szCs w:val="20"/>
          <w:lang w:val="en-US"/>
        </w:rPr>
      </w:pPr>
    </w:p>
    <w:p w14:paraId="0DC418AF" w14:textId="77D68D37" w:rsidR="00885C33" w:rsidRPr="00851A3E" w:rsidRDefault="00885C33" w:rsidP="00907082">
      <w:pPr>
        <w:widowControl w:val="0"/>
        <w:autoSpaceDE w:val="0"/>
        <w:autoSpaceDN w:val="0"/>
        <w:adjustRightInd w:val="0"/>
        <w:spacing w:after="0" w:line="240" w:lineRule="auto"/>
        <w:ind w:left="1440" w:hanging="720"/>
        <w:rPr>
          <w:rFonts w:eastAsia="Times New Roman"/>
          <w:sz w:val="20"/>
          <w:szCs w:val="20"/>
          <w:lang w:val="en-US"/>
        </w:rPr>
      </w:pPr>
      <w:r w:rsidRPr="00851A3E">
        <w:rPr>
          <w:rFonts w:eastAsia="Times New Roman"/>
          <w:sz w:val="20"/>
          <w:szCs w:val="20"/>
          <w:lang w:val="en-US"/>
        </w:rPr>
        <w:t>I have gone over the ms by Goren and can make the following comments.</w:t>
      </w:r>
    </w:p>
    <w:p w14:paraId="36F3A294" w14:textId="77777777" w:rsidR="00885C33" w:rsidRPr="00851A3E" w:rsidRDefault="00885C33" w:rsidP="00907082">
      <w:pPr>
        <w:widowControl w:val="0"/>
        <w:autoSpaceDE w:val="0"/>
        <w:autoSpaceDN w:val="0"/>
        <w:adjustRightInd w:val="0"/>
        <w:spacing w:after="0" w:line="240" w:lineRule="auto"/>
        <w:ind w:left="1440" w:hanging="720"/>
        <w:rPr>
          <w:rFonts w:eastAsia="Times New Roman"/>
          <w:sz w:val="20"/>
          <w:szCs w:val="20"/>
          <w:lang w:val="en-US"/>
        </w:rPr>
      </w:pPr>
      <w:r w:rsidRPr="00851A3E">
        <w:rPr>
          <w:rFonts w:eastAsia="Times New Roman"/>
          <w:sz w:val="20"/>
          <w:szCs w:val="20"/>
          <w:lang w:val="en-US"/>
        </w:rPr>
        <w:t xml:space="preserve">        1.  Goren is not a geologist and as far as I can tell does not have any geological </w:t>
      </w:r>
      <w:r w:rsidRPr="00851A3E">
        <w:rPr>
          <w:rFonts w:eastAsia="Times New Roman"/>
          <w:sz w:val="20"/>
          <w:szCs w:val="20"/>
          <w:lang w:val="en-US"/>
        </w:rPr>
        <w:lastRenderedPageBreak/>
        <w:t>training.  He is self-taught and has learned to look through a petrographic microscope.</w:t>
      </w:r>
    </w:p>
    <w:p w14:paraId="3BB0D9AA" w14:textId="77777777" w:rsidR="00885C33" w:rsidRPr="00851A3E" w:rsidRDefault="00885C33" w:rsidP="00907082">
      <w:pPr>
        <w:widowControl w:val="0"/>
        <w:autoSpaceDE w:val="0"/>
        <w:autoSpaceDN w:val="0"/>
        <w:adjustRightInd w:val="0"/>
        <w:spacing w:after="0" w:line="240" w:lineRule="auto"/>
        <w:ind w:left="1440" w:hanging="720"/>
        <w:rPr>
          <w:rFonts w:eastAsia="Times New Roman"/>
          <w:sz w:val="20"/>
          <w:szCs w:val="20"/>
          <w:lang w:val="en-US"/>
        </w:rPr>
      </w:pPr>
      <w:r w:rsidRPr="00851A3E">
        <w:rPr>
          <w:rFonts w:eastAsia="Times New Roman"/>
          <w:sz w:val="20"/>
          <w:szCs w:val="20"/>
          <w:lang w:val="en-US"/>
        </w:rPr>
        <w:t xml:space="preserve">        2.  I would really need to look at the same thin sections he is describing in order to know if he is accurately describing what is present in the thin section.  He is using jargon and terms as though he knows what he is talking about but I am not convinced.</w:t>
      </w:r>
    </w:p>
    <w:p w14:paraId="0A9B16B1" w14:textId="77777777" w:rsidR="00885C33" w:rsidRPr="00851A3E" w:rsidRDefault="00885C33" w:rsidP="00907082">
      <w:pPr>
        <w:widowControl w:val="0"/>
        <w:autoSpaceDE w:val="0"/>
        <w:autoSpaceDN w:val="0"/>
        <w:adjustRightInd w:val="0"/>
        <w:spacing w:after="0" w:line="240" w:lineRule="auto"/>
        <w:ind w:left="1440" w:hanging="720"/>
        <w:rPr>
          <w:rFonts w:eastAsia="Times New Roman"/>
          <w:sz w:val="20"/>
          <w:szCs w:val="20"/>
          <w:lang w:val="en-US"/>
        </w:rPr>
      </w:pPr>
      <w:r w:rsidRPr="00851A3E">
        <w:rPr>
          <w:rFonts w:eastAsia="Times New Roman"/>
          <w:sz w:val="20"/>
          <w:szCs w:val="20"/>
          <w:lang w:val="en-US"/>
        </w:rPr>
        <w:t xml:space="preserve">        3.  Look at Fig. 2 in the paper that you sent to me.  All he has done is to plot the values of cerium vs. strontium and cerium vs nickel from a small number of analyzed samples and drawn his own lines around what he has chosen as his clusters.  If you look at the plots without his lines, the only group that stands as a cluster is the Taqiya Marl but that is only on the cerium strontium plot - not the cerium nickel plot.</w:t>
      </w:r>
    </w:p>
    <w:p w14:paraId="7AC24629" w14:textId="77777777" w:rsidR="00885C33" w:rsidRPr="00851A3E" w:rsidRDefault="00885C33" w:rsidP="00907082">
      <w:pPr>
        <w:widowControl w:val="0"/>
        <w:autoSpaceDE w:val="0"/>
        <w:autoSpaceDN w:val="0"/>
        <w:adjustRightInd w:val="0"/>
        <w:spacing w:after="0" w:line="240" w:lineRule="auto"/>
        <w:ind w:left="1440" w:hanging="720"/>
        <w:rPr>
          <w:rFonts w:eastAsia="Times New Roman"/>
          <w:sz w:val="20"/>
          <w:szCs w:val="20"/>
          <w:lang w:val="en-US"/>
        </w:rPr>
      </w:pPr>
      <w:r w:rsidRPr="00851A3E">
        <w:rPr>
          <w:rFonts w:eastAsia="Times New Roman"/>
          <w:sz w:val="20"/>
          <w:szCs w:val="20"/>
          <w:lang w:val="en-US"/>
        </w:rPr>
        <w:t xml:space="preserve">        4.  He is trying to overwhelm the reader with a barrage of terms.  Just as one example, he uses the term arkose (Fig. 5, page 53) and describes large angular grains of arkose derived from granite.  Arkose is an old, little used term for a sandstone derived from a granite source rock.  Even if the term were still in common use, angular grains of arkose would not exist, especially not in pottery.</w:t>
      </w:r>
    </w:p>
    <w:p w14:paraId="0A0A8623" w14:textId="77777777" w:rsidR="00885C33" w:rsidRPr="00851A3E" w:rsidRDefault="00885C33" w:rsidP="00907082">
      <w:pPr>
        <w:widowControl w:val="0"/>
        <w:autoSpaceDE w:val="0"/>
        <w:autoSpaceDN w:val="0"/>
        <w:adjustRightInd w:val="0"/>
        <w:spacing w:after="0" w:line="240" w:lineRule="auto"/>
        <w:ind w:left="1440" w:hanging="720"/>
        <w:rPr>
          <w:rFonts w:eastAsia="Times New Roman"/>
          <w:sz w:val="20"/>
          <w:szCs w:val="20"/>
          <w:lang w:val="en-US"/>
        </w:rPr>
      </w:pPr>
      <w:r w:rsidRPr="00851A3E">
        <w:rPr>
          <w:rFonts w:eastAsia="Times New Roman"/>
          <w:sz w:val="20"/>
          <w:szCs w:val="20"/>
          <w:lang w:val="en-US"/>
        </w:rPr>
        <w:t xml:space="preserve">        5.  In the discussion of Taqiya Marl + Grog, (page 52) the last sentence of the Characterization section, "The wadi sand temper is rather variable and contains calcareous rock fragments, chert and quartz in differing proportions" is almost a direct quote from my paper with Diane Beynon, Tom Schaub and Bob Johnston (1986).  Goren lists our paper in his bibliography and may have lifted part of it for his paper.</w:t>
      </w:r>
    </w:p>
    <w:p w14:paraId="50C8AE47" w14:textId="77777777" w:rsidR="00885C33" w:rsidRPr="00851A3E" w:rsidRDefault="00885C33" w:rsidP="00907082">
      <w:pPr>
        <w:widowControl w:val="0"/>
        <w:autoSpaceDE w:val="0"/>
        <w:autoSpaceDN w:val="0"/>
        <w:adjustRightInd w:val="0"/>
        <w:spacing w:after="0" w:line="240" w:lineRule="auto"/>
        <w:ind w:left="1440" w:hanging="720"/>
        <w:rPr>
          <w:rFonts w:eastAsia="Times New Roman"/>
          <w:sz w:val="20"/>
          <w:szCs w:val="20"/>
          <w:lang w:val="en-US"/>
        </w:rPr>
      </w:pPr>
      <w:r w:rsidRPr="00851A3E">
        <w:rPr>
          <w:rFonts w:eastAsia="Times New Roman"/>
          <w:sz w:val="20"/>
          <w:szCs w:val="20"/>
          <w:lang w:val="en-US"/>
        </w:rPr>
        <w:t xml:space="preserve">        6.  I could go on with numerous other examples.  As far as I can tell, the clay source areas were not visited by Goren.  Instead, he used some general and old references (Bender, 1974, Geology of Jordan) to identify (?) clay sources.  You are absolutely right in your criticism.  He should be doing point counts for each thin section with on the order of 200 to 300 points per sample.  He should be using multivariate statistical analysis to sort his data into groups that are similar to each other.</w:t>
      </w:r>
    </w:p>
    <w:p w14:paraId="3DD2B129" w14:textId="7CF461D3" w:rsidR="00885C33" w:rsidRPr="00851A3E" w:rsidRDefault="00885C33" w:rsidP="00907082">
      <w:pPr>
        <w:widowControl w:val="0"/>
        <w:autoSpaceDE w:val="0"/>
        <w:autoSpaceDN w:val="0"/>
        <w:adjustRightInd w:val="0"/>
        <w:spacing w:after="0" w:line="240" w:lineRule="auto"/>
        <w:ind w:left="1440" w:hanging="720"/>
        <w:rPr>
          <w:rFonts w:eastAsia="Times New Roman"/>
          <w:sz w:val="20"/>
          <w:szCs w:val="20"/>
          <w:lang w:val="en-US"/>
        </w:rPr>
      </w:pPr>
      <w:r w:rsidRPr="00851A3E">
        <w:rPr>
          <w:rFonts w:eastAsia="Times New Roman"/>
          <w:sz w:val="20"/>
          <w:szCs w:val="20"/>
          <w:lang w:val="en-US"/>
        </w:rPr>
        <w:t xml:space="preserve">        You are correct in criticizing his work.  It is very poorly done, and you cannot draw any valid conclusions from it.</w:t>
      </w:r>
    </w:p>
    <w:p w14:paraId="56E343CA" w14:textId="77777777" w:rsidR="00885C33" w:rsidRDefault="00885C33" w:rsidP="00885C33">
      <w:pPr>
        <w:widowControl w:val="0"/>
        <w:autoSpaceDE w:val="0"/>
        <w:autoSpaceDN w:val="0"/>
        <w:adjustRightInd w:val="0"/>
        <w:spacing w:after="0" w:line="240" w:lineRule="auto"/>
        <w:ind w:left="720" w:hanging="720"/>
        <w:rPr>
          <w:rFonts w:eastAsia="Times New Roman"/>
          <w:szCs w:val="20"/>
          <w:lang w:val="en-US"/>
        </w:rPr>
      </w:pPr>
    </w:p>
    <w:p w14:paraId="67AC8AAD" w14:textId="6ED06061" w:rsidR="00885C33" w:rsidRDefault="00885C33" w:rsidP="00885C33">
      <w:pPr>
        <w:widowControl w:val="0"/>
        <w:autoSpaceDE w:val="0"/>
        <w:autoSpaceDN w:val="0"/>
        <w:adjustRightInd w:val="0"/>
        <w:spacing w:after="0" w:line="240" w:lineRule="auto"/>
        <w:rPr>
          <w:rFonts w:eastAsia="Times New Roman"/>
          <w:szCs w:val="20"/>
          <w:lang w:val="en-US"/>
        </w:rPr>
      </w:pPr>
      <w:r w:rsidRPr="00716FD3">
        <w:rPr>
          <w:rFonts w:eastAsia="Times New Roman"/>
          <w:szCs w:val="20"/>
          <w:lang w:val="en-US"/>
        </w:rPr>
        <w:t xml:space="preserve">Similarly, Dr. Vandiver of the University of Arizona emailed me </w:t>
      </w:r>
      <w:r w:rsidR="00AD4193">
        <w:rPr>
          <w:rFonts w:eastAsia="Times New Roman"/>
          <w:szCs w:val="20"/>
          <w:lang w:val="en-US"/>
        </w:rPr>
        <w:t>o</w:t>
      </w:r>
      <w:r w:rsidRPr="00716FD3">
        <w:rPr>
          <w:rFonts w:eastAsia="Times New Roman"/>
          <w:szCs w:val="20"/>
          <w:lang w:val="en-US"/>
        </w:rPr>
        <w:t>n June</w:t>
      </w:r>
      <w:r w:rsidR="00AD4193">
        <w:rPr>
          <w:rFonts w:eastAsia="Times New Roman"/>
          <w:szCs w:val="20"/>
          <w:lang w:val="en-US"/>
        </w:rPr>
        <w:t xml:space="preserve"> 23,</w:t>
      </w:r>
      <w:r w:rsidRPr="00716FD3">
        <w:rPr>
          <w:rFonts w:eastAsia="Times New Roman"/>
          <w:szCs w:val="20"/>
          <w:lang w:val="en-US"/>
        </w:rPr>
        <w:t xml:space="preserve"> 2004 that “Goren in his plaster work basically said that he could not find any [Neolithic] plasters [derived from limestone, but] only clay plasters in his sample[s], and that because he could not find any, we [including Dr. Kingery] must be wrong.  He later told me that he had found some [calcite] plasters, but he did not retract his original sting [i.e., a vitriolic criticism].”   Vandiver </w:t>
      </w:r>
      <w:r>
        <w:rPr>
          <w:rFonts w:eastAsia="Times New Roman"/>
          <w:szCs w:val="20"/>
          <w:lang w:val="en-US"/>
        </w:rPr>
        <w:t xml:space="preserve">later </w:t>
      </w:r>
      <w:r w:rsidRPr="00716FD3">
        <w:rPr>
          <w:rFonts w:eastAsia="Times New Roman"/>
          <w:szCs w:val="20"/>
          <w:lang w:val="en-US"/>
        </w:rPr>
        <w:t xml:space="preserve">told </w:t>
      </w:r>
      <w:r>
        <w:rPr>
          <w:rFonts w:eastAsia="Times New Roman"/>
          <w:szCs w:val="20"/>
          <w:lang w:val="en-US"/>
        </w:rPr>
        <w:t>me (oral communication at the Luoyang (China) Early Writing Conference, October 2000):</w:t>
      </w:r>
      <w:r w:rsidRPr="00716FD3">
        <w:rPr>
          <w:rFonts w:eastAsia="Times New Roman"/>
          <w:szCs w:val="20"/>
          <w:lang w:val="en-US"/>
        </w:rPr>
        <w:t xml:space="preserve"> </w:t>
      </w:r>
      <w:r w:rsidRPr="00716FD3">
        <w:rPr>
          <w:rFonts w:eastAsia="Times New Roman"/>
          <w:szCs w:val="20"/>
          <w:lang w:val="en-US"/>
        </w:rPr>
        <w:lastRenderedPageBreak/>
        <w:t>“Goren must be stopped.”</w:t>
      </w:r>
    </w:p>
    <w:p w14:paraId="02784D12" w14:textId="77777777" w:rsidR="00885C33" w:rsidRDefault="00885C33" w:rsidP="00F8247F">
      <w:pPr>
        <w:widowControl w:val="0"/>
        <w:autoSpaceDE w:val="0"/>
        <w:autoSpaceDN w:val="0"/>
        <w:adjustRightInd w:val="0"/>
        <w:spacing w:after="0" w:line="240" w:lineRule="auto"/>
        <w:rPr>
          <w:rFonts w:eastAsia="Times New Roman"/>
          <w:szCs w:val="20"/>
          <w:lang w:val="en-US"/>
        </w:rPr>
      </w:pPr>
    </w:p>
    <w:p w14:paraId="703EACF4" w14:textId="52CFA1A0" w:rsidR="00F8247F" w:rsidRPr="0059317C" w:rsidRDefault="00F8247F" w:rsidP="00F8247F">
      <w:pPr>
        <w:widowControl w:val="0"/>
        <w:autoSpaceDE w:val="0"/>
        <w:autoSpaceDN w:val="0"/>
        <w:adjustRightInd w:val="0"/>
        <w:spacing w:after="0" w:line="240" w:lineRule="auto"/>
        <w:rPr>
          <w:lang w:val="en-US"/>
        </w:rPr>
      </w:pPr>
      <w:r w:rsidRPr="0059317C">
        <w:rPr>
          <w:rFonts w:eastAsia="Times New Roman"/>
          <w:szCs w:val="20"/>
          <w:lang w:val="en-US"/>
        </w:rPr>
        <w:t>In short, Goren’s petrographic methodology falls far short of current practice in archaeological petrography, which stresses data collection, sampling of clays and other raw materials within a circumscribed region or site, firing briquettes of these local raw materials and comparing their thin-sections to the unknown ancient pottery samples, etc.</w:t>
      </w:r>
      <w:r w:rsidRPr="0059317C">
        <w:rPr>
          <w:rStyle w:val="FootnoteReference"/>
          <w:rFonts w:eastAsia="Times New Roman"/>
          <w:szCs w:val="20"/>
          <w:lang w:val="en-US"/>
        </w:rPr>
        <w:footnoteReference w:id="16"/>
      </w:r>
      <w:r w:rsidRPr="0059317C">
        <w:rPr>
          <w:rFonts w:eastAsia="Times New Roman"/>
          <w:szCs w:val="20"/>
          <w:lang w:val="en-US"/>
        </w:rPr>
        <w:t xml:space="preserve">  Admittedly, </w:t>
      </w:r>
      <w:r w:rsidRPr="0059317C">
        <w:rPr>
          <w:lang w:val="en-US"/>
        </w:rPr>
        <w:t>point-counting</w:t>
      </w:r>
      <w:r w:rsidRPr="0059317C">
        <w:rPr>
          <w:rFonts w:eastAsia="Times New Roman"/>
          <w:szCs w:val="20"/>
          <w:lang w:val="en-US"/>
        </w:rPr>
        <w:t xml:space="preserve"> </w:t>
      </w:r>
      <w:r>
        <w:rPr>
          <w:rFonts w:eastAsia="Times New Roman"/>
          <w:szCs w:val="20"/>
          <w:lang w:val="en-US"/>
        </w:rPr>
        <w:t xml:space="preserve">and </w:t>
      </w:r>
      <w:r w:rsidRPr="0059317C">
        <w:rPr>
          <w:rFonts w:eastAsia="Times New Roman"/>
          <w:szCs w:val="20"/>
          <w:lang w:val="en-US"/>
        </w:rPr>
        <w:t>statistics ha</w:t>
      </w:r>
      <w:r>
        <w:rPr>
          <w:rFonts w:eastAsia="Times New Roman"/>
          <w:szCs w:val="20"/>
          <w:lang w:val="en-US"/>
        </w:rPr>
        <w:t>ve</w:t>
      </w:r>
      <w:r w:rsidRPr="0059317C">
        <w:rPr>
          <w:rFonts w:eastAsia="Times New Roman"/>
          <w:szCs w:val="20"/>
          <w:lang w:val="en-US"/>
        </w:rPr>
        <w:t xml:space="preserve"> not been well-integrated into some of these current programs.</w:t>
      </w:r>
      <w:r>
        <w:rPr>
          <w:rFonts w:eastAsia="Times New Roman"/>
          <w:szCs w:val="20"/>
          <w:lang w:val="en-US"/>
        </w:rPr>
        <w:t xml:space="preserve"> </w:t>
      </w:r>
      <w:r w:rsidRPr="0059317C">
        <w:rPr>
          <w:rFonts w:eastAsia="Times New Roman"/>
          <w:szCs w:val="20"/>
          <w:lang w:val="en-US"/>
        </w:rPr>
        <w:t xml:space="preserve"> </w:t>
      </w:r>
    </w:p>
    <w:p w14:paraId="2F7E098C" w14:textId="77777777" w:rsidR="00F8247F" w:rsidRPr="0059317C" w:rsidRDefault="00F8247F" w:rsidP="00F8247F">
      <w:pPr>
        <w:widowControl w:val="0"/>
        <w:autoSpaceDE w:val="0"/>
        <w:autoSpaceDN w:val="0"/>
        <w:adjustRightInd w:val="0"/>
        <w:spacing w:after="0" w:line="240" w:lineRule="auto"/>
        <w:rPr>
          <w:rFonts w:eastAsia="Times New Roman"/>
          <w:szCs w:val="20"/>
          <w:lang w:val="en-US"/>
        </w:rPr>
      </w:pPr>
    </w:p>
    <w:p w14:paraId="5B2A54AC" w14:textId="359375F3" w:rsidR="00DE7153" w:rsidRDefault="00F8247F" w:rsidP="00F8247F">
      <w:pPr>
        <w:widowControl w:val="0"/>
        <w:autoSpaceDE w:val="0"/>
        <w:autoSpaceDN w:val="0"/>
        <w:adjustRightInd w:val="0"/>
        <w:spacing w:after="0" w:line="240" w:lineRule="auto"/>
        <w:rPr>
          <w:rFonts w:eastAsia="Times New Roman"/>
          <w:szCs w:val="20"/>
          <w:lang w:val="en-US"/>
        </w:rPr>
      </w:pPr>
      <w:r w:rsidRPr="0059317C">
        <w:rPr>
          <w:rFonts w:eastAsia="Times New Roman"/>
          <w:szCs w:val="20"/>
          <w:lang w:val="en-US"/>
        </w:rPr>
        <w:t>It is also instructive to compare the petrographic approach favored by New World archaeologists, which produced results contrary to those obtained by NAA.</w:t>
      </w:r>
      <w:r w:rsidRPr="0059317C">
        <w:rPr>
          <w:rFonts w:eastAsia="Times New Roman"/>
          <w:szCs w:val="20"/>
          <w:vertAlign w:val="superscript"/>
          <w:lang w:val="en-US"/>
        </w:rPr>
        <w:footnoteReference w:id="17"/>
      </w:r>
      <w:r w:rsidRPr="0059317C">
        <w:rPr>
          <w:rFonts w:eastAsia="Times New Roman"/>
          <w:szCs w:val="20"/>
          <w:lang w:val="en-US"/>
        </w:rPr>
        <w:t xml:space="preserve">   In this instance, unidirectional trade relations were unequivocally shown by NAA analyses to have existed between the Early Formative Olmec “mother culture” at San Lorenzo in southeastern Mexico and its outlying “sister cultures.”  This debate is a mirror-image, as it were, to the Old World controversy about the imported pottery at Tell el-Dab`a’s primarily originating from Southern Palestine according to our NAA results, rather than from sites farther to the north according to the petrographic results.</w:t>
      </w:r>
    </w:p>
    <w:p w14:paraId="74FC7E7E" w14:textId="77777777" w:rsidR="00DE7153" w:rsidRPr="0059317C" w:rsidRDefault="00DE7153" w:rsidP="00F8247F">
      <w:pPr>
        <w:widowControl w:val="0"/>
        <w:autoSpaceDE w:val="0"/>
        <w:autoSpaceDN w:val="0"/>
        <w:adjustRightInd w:val="0"/>
        <w:spacing w:after="0" w:line="240" w:lineRule="auto"/>
        <w:rPr>
          <w:rFonts w:eastAsia="Times New Roman"/>
          <w:szCs w:val="20"/>
          <w:lang w:val="en-US"/>
        </w:rPr>
      </w:pPr>
    </w:p>
    <w:p w14:paraId="7AA03C85" w14:textId="527CFCD0" w:rsidR="00F8247F" w:rsidRDefault="00DE7153" w:rsidP="00F8247F">
      <w:pPr>
        <w:widowControl w:val="0"/>
        <w:autoSpaceDE w:val="0"/>
        <w:autoSpaceDN w:val="0"/>
        <w:adjustRightInd w:val="0"/>
        <w:spacing w:after="0" w:line="240" w:lineRule="auto"/>
        <w:rPr>
          <w:rFonts w:eastAsia="Times New Roman"/>
          <w:b/>
          <w:szCs w:val="20"/>
          <w:lang w:val="en-US"/>
        </w:rPr>
      </w:pPr>
      <w:r>
        <w:rPr>
          <w:rFonts w:eastAsia="Times New Roman"/>
          <w:b/>
          <w:szCs w:val="20"/>
          <w:lang w:val="en-US"/>
        </w:rPr>
        <w:t>Contrasting Results</w:t>
      </w:r>
    </w:p>
    <w:p w14:paraId="1FFB87D0" w14:textId="77777777" w:rsidR="00DE7153" w:rsidRPr="00890E0E" w:rsidRDefault="00DE7153" w:rsidP="00890E0E">
      <w:pPr>
        <w:widowControl w:val="0"/>
        <w:autoSpaceDE w:val="0"/>
        <w:autoSpaceDN w:val="0"/>
        <w:adjustRightInd w:val="0"/>
        <w:spacing w:after="0" w:line="240" w:lineRule="auto"/>
        <w:rPr>
          <w:rFonts w:eastAsia="Times New Roman"/>
          <w:b/>
          <w:szCs w:val="20"/>
          <w:lang w:val="en-US"/>
        </w:rPr>
      </w:pPr>
    </w:p>
    <w:p w14:paraId="02A49A72" w14:textId="4941C144" w:rsidR="005928A4" w:rsidRDefault="00A12AB7" w:rsidP="00550EBE">
      <w:pPr>
        <w:rPr>
          <w:rFonts w:eastAsiaTheme="minorHAnsi"/>
          <w:lang w:val="en-US"/>
        </w:rPr>
      </w:pPr>
      <w:r>
        <w:rPr>
          <w:rFonts w:eastAsia="Times New Roman"/>
          <w:szCs w:val="20"/>
          <w:lang w:val="en-US"/>
        </w:rPr>
        <w:t xml:space="preserve">As if to </w:t>
      </w:r>
      <w:r w:rsidR="00AD4375">
        <w:rPr>
          <w:rFonts w:eastAsia="Times New Roman"/>
          <w:szCs w:val="20"/>
          <w:lang w:val="en-US"/>
        </w:rPr>
        <w:t>drive</w:t>
      </w:r>
      <w:r>
        <w:rPr>
          <w:rFonts w:eastAsia="Times New Roman"/>
          <w:szCs w:val="20"/>
          <w:lang w:val="en-US"/>
        </w:rPr>
        <w:t xml:space="preserve"> </w:t>
      </w:r>
      <w:r w:rsidR="001D419F">
        <w:rPr>
          <w:rFonts w:eastAsia="Times New Roman"/>
          <w:szCs w:val="20"/>
          <w:lang w:val="en-US"/>
        </w:rPr>
        <w:t xml:space="preserve">home </w:t>
      </w:r>
      <w:r>
        <w:rPr>
          <w:rFonts w:eastAsia="Times New Roman"/>
          <w:szCs w:val="20"/>
          <w:lang w:val="en-US"/>
        </w:rPr>
        <w:t>these points</w:t>
      </w:r>
      <w:r w:rsidRPr="00A12AB7">
        <w:rPr>
          <w:rFonts w:eastAsia="Times New Roman"/>
          <w:szCs w:val="20"/>
          <w:lang w:val="en-US"/>
        </w:rPr>
        <w:t xml:space="preserve">, I </w:t>
      </w:r>
      <w:r w:rsidR="002A4E5B">
        <w:rPr>
          <w:rFonts w:eastAsia="Times New Roman"/>
          <w:szCs w:val="20"/>
          <w:lang w:val="en-US"/>
        </w:rPr>
        <w:t xml:space="preserve">recently </w:t>
      </w:r>
      <w:r w:rsidR="00DC21A9">
        <w:rPr>
          <w:rFonts w:eastAsia="Times New Roman"/>
          <w:szCs w:val="20"/>
          <w:lang w:val="en-US"/>
        </w:rPr>
        <w:t>un</w:t>
      </w:r>
      <w:r>
        <w:rPr>
          <w:rFonts w:eastAsia="Times New Roman"/>
          <w:szCs w:val="20"/>
          <w:lang w:val="en-US"/>
        </w:rPr>
        <w:t>covered</w:t>
      </w:r>
      <w:r w:rsidRPr="00A12AB7">
        <w:rPr>
          <w:rFonts w:eastAsia="Times New Roman"/>
          <w:szCs w:val="20"/>
          <w:lang w:val="en-US"/>
        </w:rPr>
        <w:t xml:space="preserve"> </w:t>
      </w:r>
      <w:r w:rsidR="002A4E5B">
        <w:rPr>
          <w:rFonts w:eastAsia="Times New Roman"/>
          <w:szCs w:val="20"/>
          <w:lang w:val="en-US"/>
        </w:rPr>
        <w:t xml:space="preserve">in my files </w:t>
      </w:r>
      <w:r w:rsidRPr="00A12AB7">
        <w:rPr>
          <w:rFonts w:eastAsia="Times New Roman"/>
          <w:szCs w:val="20"/>
          <w:lang w:val="en-US"/>
        </w:rPr>
        <w:t xml:space="preserve">the original manuscript that Goren </w:t>
      </w:r>
      <w:r w:rsidR="00DC21A9">
        <w:rPr>
          <w:rFonts w:eastAsia="Times New Roman"/>
          <w:szCs w:val="20"/>
          <w:lang w:val="en-US"/>
        </w:rPr>
        <w:t xml:space="preserve">sent me </w:t>
      </w:r>
      <w:r w:rsidR="001D419F">
        <w:rPr>
          <w:rFonts w:eastAsia="Times New Roman"/>
          <w:szCs w:val="20"/>
          <w:lang w:val="en-US"/>
        </w:rPr>
        <w:t xml:space="preserve">in </w:t>
      </w:r>
      <w:r w:rsidR="00AF3F30">
        <w:rPr>
          <w:rFonts w:eastAsia="Times New Roman"/>
          <w:szCs w:val="20"/>
          <w:lang w:val="en-US"/>
        </w:rPr>
        <w:t>April</w:t>
      </w:r>
      <w:r w:rsidR="001D419F">
        <w:rPr>
          <w:rFonts w:eastAsia="Times New Roman"/>
          <w:szCs w:val="20"/>
          <w:lang w:val="en-US"/>
        </w:rPr>
        <w:t xml:space="preserve"> 1997, </w:t>
      </w:r>
      <w:r w:rsidR="00AF3F30">
        <w:rPr>
          <w:rFonts w:eastAsia="Times New Roman"/>
          <w:szCs w:val="20"/>
          <w:lang w:val="en-US"/>
        </w:rPr>
        <w:t>before I left</w:t>
      </w:r>
      <w:r w:rsidR="006D2334">
        <w:rPr>
          <w:rFonts w:eastAsia="Times New Roman"/>
          <w:szCs w:val="20"/>
          <w:lang w:val="en-US"/>
        </w:rPr>
        <w:t xml:space="preserve"> Philadelphia</w:t>
      </w:r>
      <w:r w:rsidR="00AF3F30">
        <w:rPr>
          <w:rFonts w:eastAsia="Times New Roman"/>
          <w:szCs w:val="20"/>
          <w:lang w:val="en-US"/>
        </w:rPr>
        <w:t xml:space="preserve"> to</w:t>
      </w:r>
      <w:r w:rsidR="001D419F">
        <w:rPr>
          <w:rFonts w:eastAsia="Times New Roman"/>
          <w:szCs w:val="20"/>
          <w:lang w:val="en-US"/>
        </w:rPr>
        <w:t xml:space="preserve"> </w:t>
      </w:r>
      <w:r w:rsidR="00AF3F30">
        <w:rPr>
          <w:rFonts w:eastAsia="Times New Roman"/>
          <w:szCs w:val="20"/>
          <w:lang w:val="en-US"/>
        </w:rPr>
        <w:t xml:space="preserve">complete and submit the final manuscript to the Austrian Academy of Sciences during </w:t>
      </w:r>
      <w:r w:rsidR="001D419F">
        <w:rPr>
          <w:rFonts w:eastAsia="Times New Roman"/>
          <w:szCs w:val="20"/>
          <w:lang w:val="en-US"/>
        </w:rPr>
        <w:t xml:space="preserve">my stay at the </w:t>
      </w:r>
      <w:r w:rsidR="001D419F" w:rsidRPr="001D419F">
        <w:rPr>
          <w:rFonts w:eastAsia="Times New Roman"/>
          <w:szCs w:val="20"/>
          <w:lang w:val="en-US"/>
        </w:rPr>
        <w:t xml:space="preserve">Institute of Egyptology </w:t>
      </w:r>
      <w:r w:rsidR="001D419F">
        <w:rPr>
          <w:rFonts w:eastAsia="Times New Roman"/>
          <w:szCs w:val="20"/>
          <w:lang w:val="en-US"/>
        </w:rPr>
        <w:t>at the</w:t>
      </w:r>
      <w:r w:rsidR="001D419F" w:rsidRPr="001D419F">
        <w:rPr>
          <w:rFonts w:eastAsia="Times New Roman"/>
          <w:szCs w:val="20"/>
          <w:lang w:val="en-US"/>
        </w:rPr>
        <w:t xml:space="preserve"> University of Vienna</w:t>
      </w:r>
      <w:r w:rsidR="00AF3F30">
        <w:rPr>
          <w:rFonts w:eastAsia="Times New Roman"/>
          <w:szCs w:val="20"/>
          <w:lang w:val="en-US"/>
        </w:rPr>
        <w:t xml:space="preserve"> in May</w:t>
      </w:r>
      <w:r w:rsidR="001D419F">
        <w:rPr>
          <w:rFonts w:eastAsia="Times New Roman"/>
          <w:szCs w:val="20"/>
          <w:lang w:val="en-US"/>
        </w:rPr>
        <w:t xml:space="preserve">.  </w:t>
      </w:r>
      <w:r w:rsidR="003E6D10">
        <w:rPr>
          <w:rFonts w:eastAsia="Times New Roman"/>
          <w:szCs w:val="20"/>
          <w:lang w:val="en-US"/>
        </w:rPr>
        <w:t xml:space="preserve">As it turned out, it proved impossible to adequately address key issues of debate between the petrographic and NAA results at that time, so it was decided to resolve </w:t>
      </w:r>
      <w:r w:rsidR="003E6D10">
        <w:rPr>
          <w:rFonts w:eastAsia="Times New Roman"/>
          <w:szCs w:val="20"/>
          <w:lang w:val="en-US"/>
        </w:rPr>
        <w:lastRenderedPageBreak/>
        <w:t xml:space="preserve">those issues and publish a joint article in </w:t>
      </w:r>
      <w:r w:rsidR="005928A4" w:rsidRPr="003317AE">
        <w:rPr>
          <w:rFonts w:eastAsiaTheme="minorHAnsi"/>
          <w:i/>
          <w:lang w:val="en-US"/>
        </w:rPr>
        <w:t>Ägypten und Levante</w:t>
      </w:r>
      <w:r w:rsidR="005928A4">
        <w:rPr>
          <w:rFonts w:eastAsiaTheme="minorHAnsi"/>
          <w:lang w:val="en-US"/>
        </w:rPr>
        <w:t xml:space="preserve">.  The specific issues, which were not answered by </w:t>
      </w:r>
      <w:r w:rsidR="00AF3F30">
        <w:rPr>
          <w:rFonts w:eastAsiaTheme="minorHAnsi"/>
          <w:lang w:val="en-US"/>
        </w:rPr>
        <w:t xml:space="preserve">Goren, are listed in an email that I sent him on April </w:t>
      </w:r>
      <w:r w:rsidR="00231532">
        <w:rPr>
          <w:rFonts w:eastAsiaTheme="minorHAnsi"/>
          <w:lang w:val="en-US"/>
        </w:rPr>
        <w:t>16, 1997:</w:t>
      </w:r>
    </w:p>
    <w:p w14:paraId="2394525E" w14:textId="77777777" w:rsidR="00231532" w:rsidRPr="004030D4" w:rsidRDefault="00231532" w:rsidP="004030D4">
      <w:pPr>
        <w:spacing w:after="0" w:line="257" w:lineRule="auto"/>
        <w:ind w:left="720"/>
        <w:rPr>
          <w:rFonts w:eastAsiaTheme="minorHAnsi"/>
          <w:sz w:val="22"/>
          <w:lang w:val="en-US"/>
        </w:rPr>
      </w:pPr>
      <w:r w:rsidRPr="004030D4">
        <w:rPr>
          <w:rFonts w:eastAsiaTheme="minorHAnsi"/>
          <w:sz w:val="22"/>
          <w:lang w:val="en-US"/>
        </w:rPr>
        <w:t>Dear Yuval,</w:t>
      </w:r>
    </w:p>
    <w:p w14:paraId="0DAE1C0A" w14:textId="77777777" w:rsidR="00231532" w:rsidRPr="004030D4" w:rsidRDefault="00231532" w:rsidP="004030D4">
      <w:pPr>
        <w:spacing w:after="0" w:line="257" w:lineRule="auto"/>
        <w:ind w:left="720"/>
        <w:rPr>
          <w:rFonts w:eastAsiaTheme="minorHAnsi"/>
          <w:sz w:val="22"/>
          <w:lang w:val="en-US"/>
        </w:rPr>
      </w:pPr>
      <w:r w:rsidRPr="004030D4">
        <w:rPr>
          <w:rFonts w:eastAsiaTheme="minorHAnsi"/>
          <w:sz w:val="22"/>
          <w:lang w:val="en-US"/>
        </w:rPr>
        <w:t xml:space="preserve">        Just a few more comments as you do your editing (and enjoy the holiday):</w:t>
      </w:r>
    </w:p>
    <w:p w14:paraId="37A4416A" w14:textId="77777777" w:rsidR="00231532" w:rsidRPr="004030D4" w:rsidRDefault="00231532" w:rsidP="004030D4">
      <w:pPr>
        <w:spacing w:after="0" w:line="257" w:lineRule="auto"/>
        <w:ind w:left="720"/>
        <w:rPr>
          <w:rFonts w:eastAsiaTheme="minorHAnsi"/>
          <w:sz w:val="22"/>
          <w:lang w:val="en-US"/>
        </w:rPr>
      </w:pPr>
      <w:r w:rsidRPr="004030D4">
        <w:rPr>
          <w:rFonts w:eastAsiaTheme="minorHAnsi"/>
          <w:sz w:val="22"/>
          <w:lang w:val="en-US"/>
        </w:rPr>
        <w:t>1) Are you able to say anything more precisely about possible tempering for some of the groups, based on binormal size distribution of inclusions, crushing of the temper, etc.?</w:t>
      </w:r>
    </w:p>
    <w:p w14:paraId="28641FAA" w14:textId="77777777" w:rsidR="00231532" w:rsidRPr="004030D4" w:rsidRDefault="00231532" w:rsidP="004030D4">
      <w:pPr>
        <w:spacing w:after="0" w:line="257" w:lineRule="auto"/>
        <w:ind w:left="720"/>
        <w:rPr>
          <w:rFonts w:eastAsiaTheme="minorHAnsi"/>
          <w:sz w:val="22"/>
          <w:lang w:val="en-US"/>
        </w:rPr>
      </w:pPr>
      <w:r w:rsidRPr="004030D4">
        <w:rPr>
          <w:rFonts w:eastAsiaTheme="minorHAnsi"/>
          <w:sz w:val="22"/>
          <w:lang w:val="en-US"/>
        </w:rPr>
        <w:t>2) What about possible firing-ranges, based on green/brown hornblende, quartz fracturing, etc.?</w:t>
      </w:r>
    </w:p>
    <w:p w14:paraId="69998BFF" w14:textId="77777777" w:rsidR="00231532" w:rsidRPr="004030D4" w:rsidRDefault="00231532" w:rsidP="004030D4">
      <w:pPr>
        <w:spacing w:after="0" w:line="257" w:lineRule="auto"/>
        <w:ind w:left="720"/>
        <w:rPr>
          <w:rFonts w:eastAsiaTheme="minorHAnsi"/>
          <w:sz w:val="22"/>
          <w:lang w:val="en-US"/>
        </w:rPr>
      </w:pPr>
      <w:r w:rsidRPr="004030D4">
        <w:rPr>
          <w:rFonts w:eastAsiaTheme="minorHAnsi"/>
          <w:sz w:val="22"/>
          <w:lang w:val="en-US"/>
        </w:rPr>
        <w:t>3) I note in your original table that you assign PMG120 and 121 to the Jezreel Valley.  Are you arguing that this is a sub-group of the larger basaltic, foraminiferous marl group, which is variously found in the Galilee and upper Jordan Valley?  Basaltic gabbros outcrop in northern Syria, which I believe is a better possibility for JH113.</w:t>
      </w:r>
    </w:p>
    <w:p w14:paraId="566F1C76" w14:textId="77777777" w:rsidR="00231532" w:rsidRPr="004030D4" w:rsidRDefault="00231532" w:rsidP="004030D4">
      <w:pPr>
        <w:spacing w:after="0" w:line="257" w:lineRule="auto"/>
        <w:ind w:left="720"/>
        <w:rPr>
          <w:rFonts w:eastAsiaTheme="minorHAnsi"/>
          <w:sz w:val="22"/>
          <w:lang w:val="en-US"/>
        </w:rPr>
      </w:pPr>
      <w:r w:rsidRPr="004030D4">
        <w:rPr>
          <w:rFonts w:eastAsiaTheme="minorHAnsi"/>
          <w:sz w:val="22"/>
          <w:lang w:val="en-US"/>
        </w:rPr>
        <w:t>4) The end of your chapter seems to trail off and is confusing--you must have been getting tired at this point, or just wanted to send me the "bulk" of the article.  Since the lower Cretaceous clay is so widely distributed, how can one know whether samples come from southern Lebanon, Transjordan, etc.?  The Arkose group is referred to in ***-footnote(?), but not discussed.  The discussion of central Negev wares seems peripheral.</w:t>
      </w:r>
    </w:p>
    <w:p w14:paraId="78A6F150" w14:textId="1ABF91AB" w:rsidR="00231532" w:rsidRPr="004030D4" w:rsidRDefault="00231532" w:rsidP="004030D4">
      <w:pPr>
        <w:spacing w:after="0" w:line="257" w:lineRule="auto"/>
        <w:ind w:left="720"/>
        <w:rPr>
          <w:rFonts w:eastAsiaTheme="minorHAnsi"/>
          <w:sz w:val="22"/>
          <w:lang w:val="en-US"/>
        </w:rPr>
      </w:pPr>
      <w:r w:rsidRPr="004030D4">
        <w:rPr>
          <w:rFonts w:eastAsiaTheme="minorHAnsi"/>
          <w:sz w:val="22"/>
          <w:lang w:val="en-US"/>
        </w:rPr>
        <w:t>5) The Motza (or Moza?) group is very important, and I am still a bit mystified by it.  You say that there are 6 samples belonging to it, but I can only come up with 5 from the table.  The fact that the samples (JH013, JH084, JH091, PMG117. and PMG122) are all possibly or definitely from Southern Palestine or the mid-coastal region also poses a problem that will need to be addressed in the "Discussion."  Is it possible that dolomitic sands could have been washed down into the Shephelah?</w:t>
      </w:r>
    </w:p>
    <w:p w14:paraId="7085BDCC" w14:textId="77777777" w:rsidR="00231532" w:rsidRPr="004030D4" w:rsidRDefault="00231532" w:rsidP="004030D4">
      <w:pPr>
        <w:spacing w:after="0" w:line="257" w:lineRule="auto"/>
        <w:ind w:left="720"/>
        <w:rPr>
          <w:rFonts w:eastAsiaTheme="minorHAnsi"/>
          <w:sz w:val="22"/>
          <w:lang w:val="en-US"/>
        </w:rPr>
      </w:pPr>
      <w:r w:rsidRPr="004030D4">
        <w:rPr>
          <w:rFonts w:eastAsiaTheme="minorHAnsi"/>
          <w:sz w:val="22"/>
          <w:lang w:val="en-US"/>
        </w:rPr>
        <w:t>6) The geographical limits of the Taqiya group are confusing--you discuss at length the unique predominance of the fabric at Har Yeruham, but then point out its prevalence at Jebel Qa`aqir.  How are these findings to be reconciled with the assignment of this group to the Shephelah?  You suggest that more evidence for the latter region will be provided, but I don't see it.</w:t>
      </w:r>
    </w:p>
    <w:p w14:paraId="05AE113B" w14:textId="2E2D3B31" w:rsidR="00231532" w:rsidRPr="004030D4" w:rsidRDefault="00231532" w:rsidP="004030D4">
      <w:pPr>
        <w:spacing w:after="0" w:line="257" w:lineRule="auto"/>
        <w:ind w:left="720"/>
        <w:rPr>
          <w:rFonts w:eastAsiaTheme="minorHAnsi"/>
          <w:sz w:val="22"/>
          <w:lang w:val="en-US"/>
        </w:rPr>
      </w:pPr>
      <w:r w:rsidRPr="004030D4">
        <w:rPr>
          <w:rFonts w:eastAsiaTheme="minorHAnsi"/>
          <w:sz w:val="22"/>
          <w:lang w:val="en-US"/>
        </w:rPr>
        <w:t>7) It is not clear which sample belongs to the "Hamra" group.  Does the absence of chalk, nari, and chert distinguish it from the Terra rosa group?</w:t>
      </w:r>
    </w:p>
    <w:p w14:paraId="4BB45772" w14:textId="77777777" w:rsidR="00231532" w:rsidRPr="004030D4" w:rsidRDefault="00231532" w:rsidP="004030D4">
      <w:pPr>
        <w:spacing w:after="0" w:line="257" w:lineRule="auto"/>
        <w:ind w:left="720"/>
        <w:rPr>
          <w:rFonts w:eastAsiaTheme="minorHAnsi"/>
          <w:sz w:val="22"/>
          <w:lang w:val="en-US"/>
        </w:rPr>
      </w:pPr>
      <w:r w:rsidRPr="004030D4">
        <w:rPr>
          <w:rFonts w:eastAsiaTheme="minorHAnsi"/>
          <w:sz w:val="22"/>
          <w:lang w:val="en-US"/>
        </w:rPr>
        <w:lastRenderedPageBreak/>
        <w:t xml:space="preserve">        In general, I think that things will be clearer once you've had a chance to add the Dab`a sample numbers for each petrographic group.  It would also be good to clearly indicate the full range of possible geographic locations for each group.  That will make it easier to make realistic correlations with the NAA results, which also cast as wide a "net" as possible.</w:t>
      </w:r>
    </w:p>
    <w:p w14:paraId="5DF061E6" w14:textId="1E12D10F" w:rsidR="005928A4" w:rsidRDefault="00231532" w:rsidP="00B11E77">
      <w:pPr>
        <w:spacing w:after="0" w:line="257" w:lineRule="auto"/>
        <w:ind w:left="720"/>
        <w:rPr>
          <w:rFonts w:eastAsiaTheme="minorHAnsi"/>
          <w:sz w:val="22"/>
          <w:lang w:val="en-US"/>
        </w:rPr>
      </w:pPr>
      <w:r w:rsidRPr="004030D4">
        <w:rPr>
          <w:rFonts w:eastAsiaTheme="minorHAnsi"/>
          <w:sz w:val="22"/>
          <w:lang w:val="en-US"/>
        </w:rPr>
        <w:t>Best, Pat</w:t>
      </w:r>
    </w:p>
    <w:p w14:paraId="52EADBBA" w14:textId="77777777" w:rsidR="00B11E77" w:rsidRPr="004030D4" w:rsidRDefault="00B11E77" w:rsidP="004030D4">
      <w:pPr>
        <w:spacing w:after="0" w:line="257" w:lineRule="auto"/>
        <w:ind w:left="720"/>
        <w:rPr>
          <w:rFonts w:eastAsiaTheme="minorHAnsi"/>
          <w:sz w:val="22"/>
          <w:lang w:val="en-US"/>
        </w:rPr>
      </w:pPr>
    </w:p>
    <w:p w14:paraId="47926B56" w14:textId="553A8FBA" w:rsidR="00C84942" w:rsidRDefault="00C84942" w:rsidP="00550EBE">
      <w:pPr>
        <w:rPr>
          <w:rFonts w:eastAsia="Times New Roman"/>
          <w:szCs w:val="20"/>
          <w:lang w:val="en-US"/>
        </w:rPr>
      </w:pPr>
      <w:r>
        <w:rPr>
          <w:rFonts w:eastAsia="Times New Roman"/>
          <w:szCs w:val="20"/>
          <w:lang w:val="en-US"/>
        </w:rPr>
        <w:t>It will be noted that at the time I raised many of the</w:t>
      </w:r>
      <w:r w:rsidR="000A3343">
        <w:rPr>
          <w:rFonts w:eastAsia="Times New Roman"/>
          <w:szCs w:val="20"/>
          <w:lang w:val="en-US"/>
        </w:rPr>
        <w:t xml:space="preserve"> same methodological</w:t>
      </w:r>
      <w:r>
        <w:rPr>
          <w:rFonts w:eastAsia="Times New Roman"/>
          <w:szCs w:val="20"/>
          <w:lang w:val="en-US"/>
        </w:rPr>
        <w:t xml:space="preserve"> problems </w:t>
      </w:r>
      <w:r w:rsidR="000A3343">
        <w:rPr>
          <w:rFonts w:eastAsia="Times New Roman"/>
          <w:szCs w:val="20"/>
          <w:lang w:val="en-US"/>
        </w:rPr>
        <w:t>discussed by</w:t>
      </w:r>
      <w:r>
        <w:rPr>
          <w:rFonts w:eastAsia="Times New Roman"/>
          <w:szCs w:val="20"/>
          <w:lang w:val="en-US"/>
        </w:rPr>
        <w:t xml:space="preserve"> Chris Wnuk in his </w:t>
      </w:r>
      <w:r w:rsidR="000A3343">
        <w:rPr>
          <w:rFonts w:eastAsia="Times New Roman"/>
          <w:szCs w:val="20"/>
          <w:lang w:val="en-US"/>
        </w:rPr>
        <w:t>A</w:t>
      </w:r>
      <w:r>
        <w:rPr>
          <w:rFonts w:eastAsia="Times New Roman"/>
          <w:szCs w:val="20"/>
          <w:lang w:val="en-US"/>
        </w:rPr>
        <w:t>ddendum.</w:t>
      </w:r>
    </w:p>
    <w:p w14:paraId="21949F5F" w14:textId="42A8C07E" w:rsidR="004C2780" w:rsidRDefault="00C84942" w:rsidP="00A37496">
      <w:pPr>
        <w:rPr>
          <w:rFonts w:eastAsia="Times New Roman"/>
          <w:szCs w:val="20"/>
          <w:lang w:val="en-US"/>
        </w:rPr>
      </w:pPr>
      <w:r>
        <w:rPr>
          <w:rFonts w:eastAsia="Times New Roman"/>
          <w:szCs w:val="20"/>
          <w:lang w:val="en-US"/>
        </w:rPr>
        <w:t xml:space="preserve">While recognizing that </w:t>
      </w:r>
      <w:r w:rsidR="0017148B">
        <w:rPr>
          <w:rFonts w:eastAsia="Times New Roman"/>
          <w:szCs w:val="20"/>
          <w:lang w:val="en-US"/>
        </w:rPr>
        <w:t xml:space="preserve">Goren’s </w:t>
      </w:r>
      <w:r w:rsidR="00B67A6D">
        <w:rPr>
          <w:rFonts w:eastAsia="Times New Roman"/>
          <w:szCs w:val="20"/>
          <w:lang w:val="en-US"/>
        </w:rPr>
        <w:t>petrographic assignments</w:t>
      </w:r>
      <w:r w:rsidR="0017148B">
        <w:rPr>
          <w:rFonts w:eastAsia="Times New Roman"/>
          <w:szCs w:val="20"/>
          <w:lang w:val="en-US"/>
        </w:rPr>
        <w:t xml:space="preserve"> might have changed </w:t>
      </w:r>
      <w:r w:rsidR="00B67A6D">
        <w:rPr>
          <w:rFonts w:eastAsia="Times New Roman"/>
          <w:szCs w:val="20"/>
          <w:lang w:val="en-US"/>
        </w:rPr>
        <w:t xml:space="preserve">or been refined between 1997 and 2004 after </w:t>
      </w:r>
      <w:r w:rsidR="0017148B">
        <w:rPr>
          <w:rFonts w:eastAsia="Times New Roman"/>
          <w:szCs w:val="20"/>
          <w:lang w:val="en-US"/>
        </w:rPr>
        <w:t xml:space="preserve">he </w:t>
      </w:r>
      <w:r w:rsidR="00B67A6D">
        <w:rPr>
          <w:rFonts w:eastAsia="Times New Roman"/>
          <w:szCs w:val="20"/>
          <w:lang w:val="en-US"/>
        </w:rPr>
        <w:t>began working with</w:t>
      </w:r>
      <w:r w:rsidR="0017148B">
        <w:rPr>
          <w:rFonts w:eastAsia="Times New Roman"/>
          <w:szCs w:val="20"/>
          <w:lang w:val="en-US"/>
        </w:rPr>
        <w:t xml:space="preserve"> his doctoral student, Anat Cohen-Weinberger</w:t>
      </w:r>
      <w:r w:rsidR="00C062D1">
        <w:rPr>
          <w:rFonts w:eastAsia="Times New Roman"/>
          <w:szCs w:val="20"/>
          <w:lang w:val="en-US"/>
        </w:rPr>
        <w:t>,</w:t>
      </w:r>
      <w:r w:rsidR="0017148B">
        <w:rPr>
          <w:rFonts w:eastAsia="Times New Roman"/>
          <w:szCs w:val="20"/>
          <w:lang w:val="en-US"/>
        </w:rPr>
        <w:t xml:space="preserve"> and </w:t>
      </w:r>
      <w:r w:rsidR="00B67A6D">
        <w:rPr>
          <w:rFonts w:eastAsia="Times New Roman"/>
          <w:szCs w:val="20"/>
          <w:lang w:val="en-US"/>
        </w:rPr>
        <w:t>after</w:t>
      </w:r>
      <w:r w:rsidR="0017148B">
        <w:rPr>
          <w:rFonts w:eastAsia="Times New Roman"/>
          <w:szCs w:val="20"/>
          <w:lang w:val="en-US"/>
        </w:rPr>
        <w:t xml:space="preserve"> more thin-sections </w:t>
      </w:r>
      <w:r w:rsidR="00B67A6D">
        <w:rPr>
          <w:rFonts w:eastAsia="Times New Roman"/>
          <w:szCs w:val="20"/>
          <w:lang w:val="en-US"/>
        </w:rPr>
        <w:t>had been analyzed</w:t>
      </w:r>
      <w:r w:rsidR="0017148B">
        <w:rPr>
          <w:rFonts w:eastAsia="Times New Roman"/>
          <w:szCs w:val="20"/>
          <w:lang w:val="en-US"/>
        </w:rPr>
        <w:t>, it is</w:t>
      </w:r>
      <w:r w:rsidR="00D90B3A">
        <w:rPr>
          <w:rFonts w:eastAsia="Times New Roman"/>
          <w:szCs w:val="20"/>
          <w:lang w:val="en-US"/>
        </w:rPr>
        <w:t xml:space="preserve"> again </w:t>
      </w:r>
      <w:r w:rsidR="0017148B">
        <w:rPr>
          <w:rFonts w:eastAsia="Times New Roman"/>
          <w:szCs w:val="20"/>
          <w:lang w:val="en-US"/>
        </w:rPr>
        <w:t>instructive to compare his 1997 petrographic results with those of the final</w:t>
      </w:r>
      <w:r w:rsidR="00731534">
        <w:rPr>
          <w:rFonts w:eastAsia="Times New Roman"/>
          <w:szCs w:val="20"/>
          <w:lang w:val="en-US"/>
        </w:rPr>
        <w:t xml:space="preserve"> 2004</w:t>
      </w:r>
      <w:r w:rsidR="0017148B">
        <w:rPr>
          <w:rFonts w:eastAsia="Times New Roman"/>
          <w:szCs w:val="20"/>
          <w:lang w:val="en-US"/>
        </w:rPr>
        <w:t xml:space="preserve"> publication</w:t>
      </w:r>
      <w:r w:rsidR="004C2780">
        <w:rPr>
          <w:rFonts w:eastAsia="Times New Roman"/>
          <w:szCs w:val="20"/>
          <w:lang w:val="en-US"/>
        </w:rPr>
        <w:t>, together with the NAA assignments</w:t>
      </w:r>
      <w:r w:rsidR="00731534">
        <w:rPr>
          <w:rFonts w:eastAsia="Times New Roman"/>
          <w:szCs w:val="20"/>
          <w:lang w:val="en-US"/>
        </w:rPr>
        <w:t xml:space="preserve"> cited</w:t>
      </w:r>
      <w:r w:rsidR="004C2780">
        <w:rPr>
          <w:rFonts w:eastAsia="Times New Roman"/>
          <w:szCs w:val="20"/>
          <w:lang w:val="en-US"/>
        </w:rPr>
        <w:t xml:space="preserve"> </w:t>
      </w:r>
      <w:r w:rsidR="00731534">
        <w:rPr>
          <w:rFonts w:eastAsia="Times New Roman"/>
          <w:szCs w:val="20"/>
          <w:lang w:val="en-US"/>
        </w:rPr>
        <w:t>from</w:t>
      </w:r>
      <w:r w:rsidR="004C2780">
        <w:rPr>
          <w:rFonts w:eastAsia="Times New Roman"/>
          <w:szCs w:val="20"/>
          <w:lang w:val="en-US"/>
        </w:rPr>
        <w:t xml:space="preserve"> this monograph, published in 2000.  The comparisons</w:t>
      </w:r>
      <w:r w:rsidR="00A37496">
        <w:rPr>
          <w:rFonts w:eastAsia="Times New Roman"/>
          <w:szCs w:val="20"/>
          <w:lang w:val="en-US"/>
        </w:rPr>
        <w:t xml:space="preserve">, </w:t>
      </w:r>
      <w:r w:rsidR="00A37496" w:rsidRPr="00A37496">
        <w:rPr>
          <w:rFonts w:eastAsia="Times New Roman"/>
          <w:szCs w:val="20"/>
          <w:lang w:val="en-US"/>
        </w:rPr>
        <w:t>show</w:t>
      </w:r>
      <w:r w:rsidR="00A37496">
        <w:rPr>
          <w:rFonts w:eastAsia="Times New Roman"/>
          <w:szCs w:val="20"/>
          <w:lang w:val="en-US"/>
        </w:rPr>
        <w:t>ing</w:t>
      </w:r>
      <w:r w:rsidR="00A37496" w:rsidRPr="00A37496">
        <w:rPr>
          <w:rFonts w:eastAsia="Times New Roman"/>
          <w:szCs w:val="20"/>
          <w:lang w:val="en-US"/>
        </w:rPr>
        <w:t xml:space="preserve"> </w:t>
      </w:r>
      <w:r w:rsidR="00A37496">
        <w:rPr>
          <w:rFonts w:eastAsia="Times New Roman"/>
          <w:szCs w:val="20"/>
          <w:lang w:val="en-US"/>
        </w:rPr>
        <w:t>many</w:t>
      </w:r>
      <w:r w:rsidR="00A37496" w:rsidRPr="00A37496">
        <w:rPr>
          <w:rFonts w:eastAsia="Times New Roman"/>
          <w:szCs w:val="20"/>
          <w:lang w:val="en-US"/>
        </w:rPr>
        <w:t xml:space="preserve"> disparities</w:t>
      </w:r>
      <w:r w:rsidR="00A37496">
        <w:rPr>
          <w:rFonts w:eastAsia="Times New Roman"/>
          <w:szCs w:val="20"/>
          <w:lang w:val="en-US"/>
        </w:rPr>
        <w:t xml:space="preserve">, </w:t>
      </w:r>
      <w:r w:rsidR="004C2780">
        <w:rPr>
          <w:rFonts w:eastAsia="Times New Roman"/>
          <w:szCs w:val="20"/>
          <w:lang w:val="en-US"/>
        </w:rPr>
        <w:t xml:space="preserve">are </w:t>
      </w:r>
      <w:r w:rsidR="00731534">
        <w:rPr>
          <w:rFonts w:eastAsia="Times New Roman"/>
          <w:szCs w:val="20"/>
          <w:lang w:val="en-US"/>
        </w:rPr>
        <w:t>compil</w:t>
      </w:r>
      <w:r w:rsidR="004C2780">
        <w:rPr>
          <w:rFonts w:eastAsia="Times New Roman"/>
          <w:szCs w:val="20"/>
          <w:lang w:val="en-US"/>
        </w:rPr>
        <w:t>ed in Table 4</w:t>
      </w:r>
      <w:r w:rsidR="00EB5CFE">
        <w:rPr>
          <w:rFonts w:eastAsia="Times New Roman"/>
          <w:szCs w:val="20"/>
          <w:lang w:val="en-US"/>
        </w:rPr>
        <w:t>8</w:t>
      </w:r>
      <w:r w:rsidR="004C2780">
        <w:rPr>
          <w:rFonts w:eastAsia="Times New Roman"/>
          <w:szCs w:val="20"/>
          <w:lang w:val="en-US"/>
        </w:rPr>
        <w:t>, below.</w:t>
      </w:r>
    </w:p>
    <w:p w14:paraId="14FE95D4" w14:textId="5EED6728" w:rsidR="00C062D1" w:rsidRDefault="004C2780" w:rsidP="004030D4">
      <w:pPr>
        <w:spacing w:after="0"/>
        <w:rPr>
          <w:rFonts w:eastAsia="Times New Roman"/>
          <w:szCs w:val="20"/>
          <w:lang w:val="en-US"/>
        </w:rPr>
      </w:pPr>
      <w:r>
        <w:rPr>
          <w:rFonts w:eastAsia="Times New Roman"/>
          <w:szCs w:val="20"/>
          <w:lang w:val="en-US"/>
        </w:rPr>
        <w:t xml:space="preserve">What immediately jumps out </w:t>
      </w:r>
      <w:r w:rsidR="008D5732">
        <w:rPr>
          <w:rFonts w:eastAsia="Times New Roman"/>
          <w:szCs w:val="20"/>
          <w:lang w:val="en-US"/>
        </w:rPr>
        <w:t xml:space="preserve">at </w:t>
      </w:r>
      <w:r>
        <w:rPr>
          <w:rFonts w:eastAsia="Times New Roman"/>
          <w:szCs w:val="20"/>
          <w:lang w:val="en-US"/>
        </w:rPr>
        <w:t xml:space="preserve">the reader </w:t>
      </w:r>
      <w:r w:rsidR="008D5732">
        <w:rPr>
          <w:rFonts w:eastAsia="Times New Roman"/>
          <w:szCs w:val="20"/>
          <w:lang w:val="en-US"/>
        </w:rPr>
        <w:t xml:space="preserve">when </w:t>
      </w:r>
      <w:r>
        <w:rPr>
          <w:rFonts w:eastAsia="Times New Roman"/>
          <w:szCs w:val="20"/>
          <w:lang w:val="en-US"/>
        </w:rPr>
        <w:t>examin</w:t>
      </w:r>
      <w:r w:rsidR="008D5732">
        <w:rPr>
          <w:rFonts w:eastAsia="Times New Roman"/>
          <w:szCs w:val="20"/>
          <w:lang w:val="en-US"/>
        </w:rPr>
        <w:t>ing</w:t>
      </w:r>
      <w:r>
        <w:rPr>
          <w:rFonts w:eastAsia="Times New Roman"/>
          <w:szCs w:val="20"/>
          <w:lang w:val="en-US"/>
        </w:rPr>
        <w:t xml:space="preserve"> th</w:t>
      </w:r>
      <w:r w:rsidR="008D5732">
        <w:rPr>
          <w:rFonts w:eastAsia="Times New Roman"/>
          <w:szCs w:val="20"/>
          <w:lang w:val="en-US"/>
        </w:rPr>
        <w:t>e comparisons are how often the Goren 1997 petrographic results differ from those of 2004</w:t>
      </w:r>
      <w:r w:rsidR="00C062D1">
        <w:rPr>
          <w:rFonts w:eastAsia="Times New Roman"/>
          <w:szCs w:val="20"/>
          <w:lang w:val="en-US"/>
        </w:rPr>
        <w:t xml:space="preserve"> (see column</w:t>
      </w:r>
      <w:r w:rsidR="004E041A" w:rsidRPr="004E041A">
        <w:rPr>
          <w:rFonts w:eastAsia="Times New Roman"/>
          <w:szCs w:val="20"/>
          <w:lang w:val="en-US"/>
        </w:rPr>
        <w:t xml:space="preserve"> </w:t>
      </w:r>
      <w:r w:rsidR="004E041A">
        <w:rPr>
          <w:rFonts w:eastAsia="Times New Roman"/>
          <w:szCs w:val="20"/>
          <w:lang w:val="en-US"/>
        </w:rPr>
        <w:t>7</w:t>
      </w:r>
      <w:r w:rsidR="00FB38F0">
        <w:rPr>
          <w:rFonts w:eastAsia="Times New Roman"/>
          <w:szCs w:val="20"/>
          <w:lang w:val="en-US"/>
        </w:rPr>
        <w:t>, far-</w:t>
      </w:r>
      <w:r w:rsidR="004E041A">
        <w:rPr>
          <w:rFonts w:eastAsia="Times New Roman"/>
          <w:szCs w:val="20"/>
          <w:lang w:val="en-US"/>
        </w:rPr>
        <w:t>right</w:t>
      </w:r>
      <w:r w:rsidR="00FB38F0">
        <w:rPr>
          <w:rFonts w:eastAsia="Times New Roman"/>
          <w:szCs w:val="20"/>
          <w:lang w:val="en-US"/>
        </w:rPr>
        <w:t xml:space="preserve"> in bold type</w:t>
      </w:r>
      <w:r w:rsidR="00C062D1">
        <w:rPr>
          <w:rFonts w:eastAsia="Times New Roman"/>
          <w:szCs w:val="20"/>
          <w:lang w:val="en-US"/>
        </w:rPr>
        <w:t>)</w:t>
      </w:r>
      <w:r w:rsidR="008D5732">
        <w:rPr>
          <w:rFonts w:eastAsia="Times New Roman"/>
          <w:szCs w:val="20"/>
          <w:lang w:val="en-US"/>
        </w:rPr>
        <w:t xml:space="preserve">.  </w:t>
      </w:r>
      <w:r w:rsidR="00E93029">
        <w:rPr>
          <w:rFonts w:eastAsia="Times New Roman"/>
          <w:szCs w:val="20"/>
          <w:lang w:val="en-US"/>
        </w:rPr>
        <w:t xml:space="preserve">Omitting </w:t>
      </w:r>
      <w:r w:rsidR="00E911A8">
        <w:rPr>
          <w:rFonts w:eastAsia="Times New Roman"/>
          <w:szCs w:val="20"/>
          <w:lang w:val="en-US"/>
        </w:rPr>
        <w:t xml:space="preserve">23 samples that </w:t>
      </w:r>
      <w:r w:rsidR="002C3E38">
        <w:rPr>
          <w:rFonts w:eastAsia="Times New Roman"/>
          <w:szCs w:val="20"/>
          <w:lang w:val="en-US"/>
        </w:rPr>
        <w:t>were not reported as being analyzed</w:t>
      </w:r>
      <w:r w:rsidR="00731534">
        <w:rPr>
          <w:rFonts w:eastAsia="Times New Roman"/>
          <w:szCs w:val="20"/>
          <w:lang w:val="en-US"/>
        </w:rPr>
        <w:t xml:space="preserve"> in 1997</w:t>
      </w:r>
      <w:r w:rsidR="002C3E38">
        <w:rPr>
          <w:rFonts w:eastAsia="Times New Roman"/>
          <w:szCs w:val="20"/>
          <w:lang w:val="en-US"/>
        </w:rPr>
        <w:t>,</w:t>
      </w:r>
      <w:r w:rsidR="00C062D1">
        <w:rPr>
          <w:rFonts w:eastAsia="Times New Roman"/>
          <w:szCs w:val="20"/>
          <w:lang w:val="en-US"/>
        </w:rPr>
        <w:t xml:space="preserve"> 34 of the assignments (79</w:t>
      </w:r>
      <w:r w:rsidR="004B7C36">
        <w:rPr>
          <w:rFonts w:eastAsia="Times New Roman"/>
          <w:szCs w:val="20"/>
          <w:lang w:val="en-US"/>
        </w:rPr>
        <w:t>.1</w:t>
      </w:r>
      <w:r w:rsidR="00C062D1">
        <w:rPr>
          <w:rFonts w:eastAsia="Times New Roman"/>
          <w:szCs w:val="20"/>
          <w:lang w:val="en-US"/>
        </w:rPr>
        <w:t xml:space="preserve">%) made in 1997 have been reassigned in 2004.  </w:t>
      </w:r>
      <w:r w:rsidR="004B7C36">
        <w:rPr>
          <w:rFonts w:eastAsia="Times New Roman"/>
          <w:szCs w:val="20"/>
          <w:lang w:val="en-US"/>
        </w:rPr>
        <w:t>Only 9 samples (2.1%)</w:t>
      </w:r>
      <w:r w:rsidR="002C3E38">
        <w:rPr>
          <w:rFonts w:eastAsia="Times New Roman"/>
          <w:szCs w:val="20"/>
          <w:lang w:val="en-US"/>
        </w:rPr>
        <w:t xml:space="preserve"> </w:t>
      </w:r>
      <w:r w:rsidR="004B7C36">
        <w:rPr>
          <w:rFonts w:eastAsia="Times New Roman"/>
          <w:szCs w:val="20"/>
          <w:lang w:val="en-US"/>
        </w:rPr>
        <w:t xml:space="preserve">remained the same (including </w:t>
      </w:r>
      <w:r w:rsidR="004E041A">
        <w:rPr>
          <w:rFonts w:eastAsia="Times New Roman"/>
          <w:szCs w:val="20"/>
          <w:lang w:val="en-US"/>
        </w:rPr>
        <w:t xml:space="preserve">one </w:t>
      </w:r>
      <w:r w:rsidR="004B7C36">
        <w:rPr>
          <w:rFonts w:eastAsia="Times New Roman"/>
          <w:szCs w:val="20"/>
          <w:lang w:val="en-US"/>
        </w:rPr>
        <w:t>that w</w:t>
      </w:r>
      <w:r w:rsidR="004E041A">
        <w:rPr>
          <w:rFonts w:eastAsia="Times New Roman"/>
          <w:szCs w:val="20"/>
          <w:lang w:val="en-US"/>
        </w:rPr>
        <w:t>as</w:t>
      </w:r>
      <w:r w:rsidR="004B7C36">
        <w:rPr>
          <w:rFonts w:eastAsia="Times New Roman"/>
          <w:szCs w:val="20"/>
          <w:lang w:val="en-US"/>
        </w:rPr>
        <w:t xml:space="preserve"> possibly</w:t>
      </w:r>
      <w:r w:rsidR="004E041A">
        <w:rPr>
          <w:rFonts w:eastAsia="Times New Roman"/>
          <w:szCs w:val="20"/>
          <w:lang w:val="en-US"/>
        </w:rPr>
        <w:t xml:space="preserve"> positive</w:t>
      </w:r>
      <w:r w:rsidR="004B7C36">
        <w:rPr>
          <w:rFonts w:eastAsia="Times New Roman"/>
          <w:szCs w:val="20"/>
          <w:lang w:val="en-US"/>
        </w:rPr>
        <w:t xml:space="preserve"> and </w:t>
      </w:r>
      <w:r w:rsidR="004E041A">
        <w:rPr>
          <w:rFonts w:eastAsia="Times New Roman"/>
          <w:szCs w:val="20"/>
          <w:lang w:val="en-US"/>
        </w:rPr>
        <w:t xml:space="preserve">two that were </w:t>
      </w:r>
      <w:r w:rsidR="004B7C36">
        <w:rPr>
          <w:rFonts w:eastAsia="Times New Roman"/>
          <w:szCs w:val="20"/>
          <w:lang w:val="en-US"/>
        </w:rPr>
        <w:t>probably positive).</w:t>
      </w:r>
    </w:p>
    <w:p w14:paraId="287AA10B" w14:textId="77777777" w:rsidR="004B7C36" w:rsidRDefault="004B7C36" w:rsidP="004030D4">
      <w:pPr>
        <w:spacing w:after="0"/>
        <w:rPr>
          <w:rFonts w:eastAsia="Times New Roman"/>
          <w:szCs w:val="20"/>
          <w:lang w:val="en-US"/>
        </w:rPr>
      </w:pPr>
    </w:p>
    <w:p w14:paraId="73DDB349" w14:textId="7368C64F" w:rsidR="007607E3" w:rsidRDefault="004B7C36" w:rsidP="00550EBE">
      <w:pPr>
        <w:rPr>
          <w:rFonts w:eastAsia="Times New Roman"/>
          <w:szCs w:val="20"/>
          <w:lang w:val="en-US"/>
        </w:rPr>
      </w:pPr>
      <w:r>
        <w:rPr>
          <w:rFonts w:eastAsia="Times New Roman"/>
          <w:szCs w:val="20"/>
          <w:lang w:val="en-US"/>
        </w:rPr>
        <w:t xml:space="preserve">Of the reassignments, those </w:t>
      </w:r>
      <w:r w:rsidR="00143B07">
        <w:rPr>
          <w:rFonts w:eastAsia="Times New Roman"/>
          <w:szCs w:val="20"/>
          <w:lang w:val="en-US"/>
        </w:rPr>
        <w:t>relocated</w:t>
      </w:r>
      <w:r w:rsidR="00D72F95">
        <w:rPr>
          <w:rFonts w:eastAsia="Times New Roman"/>
          <w:szCs w:val="20"/>
          <w:lang w:val="en-US"/>
        </w:rPr>
        <w:t xml:space="preserve"> </w:t>
      </w:r>
      <w:r>
        <w:rPr>
          <w:rFonts w:eastAsia="Times New Roman"/>
          <w:szCs w:val="20"/>
          <w:lang w:val="en-US"/>
        </w:rPr>
        <w:t>from the Southern Palestinian region (including the “</w:t>
      </w:r>
      <w:r w:rsidRPr="003C2C5E">
        <w:rPr>
          <w:rFonts w:eastAsia="Times New Roman"/>
          <w:szCs w:val="20"/>
          <w:lang w:val="en-US"/>
        </w:rPr>
        <w:t>Southern Coastal Plain</w:t>
      </w:r>
      <w:r>
        <w:rPr>
          <w:rFonts w:eastAsia="Times New Roman"/>
          <w:szCs w:val="20"/>
          <w:lang w:val="en-US"/>
        </w:rPr>
        <w:t xml:space="preserve">” and the “Shephelah”) </w:t>
      </w:r>
      <w:r w:rsidR="00481B1F">
        <w:rPr>
          <w:rFonts w:eastAsia="Times New Roman"/>
          <w:szCs w:val="20"/>
          <w:lang w:val="en-US"/>
        </w:rPr>
        <w:t>in 1997 to various regions in the northern Levant (viz., “</w:t>
      </w:r>
      <w:r w:rsidR="00481B1F" w:rsidRPr="00F0144D">
        <w:rPr>
          <w:rFonts w:eastAsia="Times New Roman"/>
          <w:szCs w:val="20"/>
          <w:lang w:val="en-US"/>
        </w:rPr>
        <w:t>Lebanon east of the coast line Beirut-Byblos</w:t>
      </w:r>
      <w:r w:rsidR="00481B1F">
        <w:rPr>
          <w:rFonts w:eastAsia="Times New Roman"/>
          <w:szCs w:val="20"/>
          <w:lang w:val="en-US"/>
        </w:rPr>
        <w:t>,” the “</w:t>
      </w:r>
      <w:r w:rsidR="00481B1F" w:rsidRPr="00F0144D">
        <w:rPr>
          <w:rFonts w:eastAsia="Times New Roman"/>
          <w:szCs w:val="20"/>
          <w:lang w:val="en-US"/>
        </w:rPr>
        <w:t>Northernmost Israeli coast or the Lebanese coast</w:t>
      </w:r>
      <w:r w:rsidR="00481B1F">
        <w:rPr>
          <w:rFonts w:eastAsia="Times New Roman"/>
          <w:szCs w:val="20"/>
          <w:lang w:val="en-US"/>
        </w:rPr>
        <w:t>,” “</w:t>
      </w:r>
      <w:r w:rsidR="00481B1F" w:rsidRPr="007B3DE1">
        <w:rPr>
          <w:rFonts w:eastAsia="Times New Roman"/>
          <w:szCs w:val="20"/>
          <w:lang w:val="en-US"/>
        </w:rPr>
        <w:t>Northwestern Syria</w:t>
      </w:r>
      <w:r w:rsidR="00481B1F">
        <w:rPr>
          <w:rFonts w:eastAsia="Times New Roman"/>
          <w:szCs w:val="20"/>
          <w:lang w:val="en-US"/>
        </w:rPr>
        <w:t>,” the “</w:t>
      </w:r>
      <w:r w:rsidR="00481B1F" w:rsidRPr="007B3DE1">
        <w:rPr>
          <w:rFonts w:eastAsia="Times New Roman"/>
          <w:szCs w:val="20"/>
          <w:lang w:val="en-US"/>
        </w:rPr>
        <w:t>Northernmost Israeli coast or the Lebanese coast</w:t>
      </w:r>
      <w:r w:rsidR="00481B1F">
        <w:rPr>
          <w:rFonts w:eastAsia="Times New Roman"/>
          <w:szCs w:val="20"/>
          <w:lang w:val="en-US"/>
        </w:rPr>
        <w:t>,” the “</w:t>
      </w:r>
      <w:r w:rsidR="00481B1F" w:rsidRPr="00FB32DD">
        <w:rPr>
          <w:rFonts w:eastAsia="Times New Roman"/>
          <w:szCs w:val="20"/>
          <w:lang w:val="en-US"/>
        </w:rPr>
        <w:t>Middle Orontes north of Qedesh</w:t>
      </w:r>
      <w:r w:rsidR="00481B1F">
        <w:rPr>
          <w:rFonts w:eastAsia="Times New Roman"/>
          <w:szCs w:val="20"/>
          <w:lang w:val="en-US"/>
        </w:rPr>
        <w:t>,” the</w:t>
      </w:r>
      <w:r w:rsidR="00392422">
        <w:rPr>
          <w:rFonts w:eastAsia="Times New Roman"/>
          <w:szCs w:val="20"/>
          <w:lang w:val="en-US"/>
        </w:rPr>
        <w:t xml:space="preserve"> </w:t>
      </w:r>
      <w:r w:rsidR="00481B1F">
        <w:rPr>
          <w:rFonts w:eastAsia="Times New Roman"/>
          <w:szCs w:val="20"/>
          <w:lang w:val="en-US"/>
        </w:rPr>
        <w:t>“</w:t>
      </w:r>
      <w:r w:rsidR="00481B1F" w:rsidRPr="00C9356F">
        <w:rPr>
          <w:rFonts w:eastAsia="Times New Roman"/>
          <w:szCs w:val="20"/>
          <w:lang w:val="en-US"/>
        </w:rPr>
        <w:t xml:space="preserve">Northern Lebanese coast </w:t>
      </w:r>
      <w:r w:rsidR="00481B1F">
        <w:rPr>
          <w:rFonts w:eastAsia="Times New Roman"/>
          <w:szCs w:val="20"/>
          <w:lang w:val="en-US"/>
        </w:rPr>
        <w:t>[</w:t>
      </w:r>
      <w:r w:rsidR="00481B1F" w:rsidRPr="00C9356F">
        <w:rPr>
          <w:rFonts w:eastAsia="Times New Roman"/>
          <w:szCs w:val="20"/>
          <w:lang w:val="en-US"/>
        </w:rPr>
        <w:t>north of Tripoli</w:t>
      </w:r>
      <w:r w:rsidR="00481B1F">
        <w:rPr>
          <w:rFonts w:eastAsia="Times New Roman"/>
          <w:szCs w:val="20"/>
          <w:lang w:val="en-US"/>
        </w:rPr>
        <w:t>],” the “</w:t>
      </w:r>
      <w:r w:rsidR="00481B1F" w:rsidRPr="00675DC3">
        <w:rPr>
          <w:rFonts w:eastAsia="Times New Roman"/>
          <w:szCs w:val="20"/>
          <w:lang w:val="en-US"/>
        </w:rPr>
        <w:t>Mt. Carmel region</w:t>
      </w:r>
      <w:r w:rsidR="00481B1F">
        <w:rPr>
          <w:rFonts w:eastAsia="Times New Roman"/>
          <w:szCs w:val="20"/>
          <w:lang w:val="en-US"/>
        </w:rPr>
        <w:t xml:space="preserve">,” etc.) in 2004 </w:t>
      </w:r>
      <w:r w:rsidR="00C50A8B">
        <w:rPr>
          <w:rFonts w:eastAsia="Times New Roman"/>
          <w:szCs w:val="20"/>
          <w:lang w:val="en-US"/>
        </w:rPr>
        <w:t>stand out as</w:t>
      </w:r>
      <w:r w:rsidR="005D5AF9">
        <w:rPr>
          <w:rFonts w:eastAsia="Times New Roman"/>
          <w:szCs w:val="20"/>
          <w:lang w:val="en-US"/>
        </w:rPr>
        <w:t xml:space="preserve"> </w:t>
      </w:r>
      <w:r w:rsidR="002E5BB1">
        <w:rPr>
          <w:rFonts w:eastAsia="Times New Roman"/>
          <w:szCs w:val="20"/>
          <w:lang w:val="en-US"/>
        </w:rPr>
        <w:t xml:space="preserve">accounting for </w:t>
      </w:r>
      <w:r w:rsidR="00C50A8B">
        <w:rPr>
          <w:rFonts w:eastAsia="Times New Roman"/>
          <w:szCs w:val="20"/>
          <w:lang w:val="en-US"/>
        </w:rPr>
        <w:t xml:space="preserve">the greatest number of changes: </w:t>
      </w:r>
      <w:r w:rsidR="002C3E38">
        <w:rPr>
          <w:rFonts w:eastAsia="Times New Roman"/>
          <w:szCs w:val="20"/>
          <w:lang w:val="en-US"/>
        </w:rPr>
        <w:t>1</w:t>
      </w:r>
      <w:r w:rsidR="00A84959">
        <w:rPr>
          <w:rFonts w:eastAsia="Times New Roman"/>
          <w:szCs w:val="20"/>
          <w:lang w:val="en-US"/>
        </w:rPr>
        <w:t>9</w:t>
      </w:r>
      <w:r w:rsidR="002C3E38">
        <w:rPr>
          <w:rFonts w:eastAsia="Times New Roman"/>
          <w:szCs w:val="20"/>
          <w:lang w:val="en-US"/>
        </w:rPr>
        <w:t xml:space="preserve"> samples (</w:t>
      </w:r>
      <w:r w:rsidR="00573983">
        <w:rPr>
          <w:rFonts w:eastAsia="Times New Roman"/>
          <w:szCs w:val="20"/>
          <w:lang w:val="en-US"/>
        </w:rPr>
        <w:t>44</w:t>
      </w:r>
      <w:r w:rsidR="005060F4">
        <w:rPr>
          <w:rFonts w:eastAsia="Times New Roman"/>
          <w:szCs w:val="20"/>
          <w:lang w:val="en-US"/>
        </w:rPr>
        <w:t>.2</w:t>
      </w:r>
      <w:r w:rsidR="002C3E38">
        <w:rPr>
          <w:rFonts w:eastAsia="Times New Roman"/>
          <w:szCs w:val="20"/>
          <w:lang w:val="en-US"/>
        </w:rPr>
        <w:t>%)</w:t>
      </w:r>
      <w:r w:rsidR="00573983">
        <w:rPr>
          <w:rFonts w:eastAsia="Times New Roman"/>
          <w:szCs w:val="20"/>
          <w:lang w:val="en-US"/>
        </w:rPr>
        <w:t>.  By contrast, o</w:t>
      </w:r>
      <w:r w:rsidR="00566CF9">
        <w:rPr>
          <w:rFonts w:eastAsia="Times New Roman"/>
          <w:szCs w:val="20"/>
          <w:lang w:val="en-US"/>
        </w:rPr>
        <w:t xml:space="preserve">nly </w:t>
      </w:r>
      <w:r w:rsidR="004F7DA2">
        <w:rPr>
          <w:rFonts w:eastAsia="Times New Roman"/>
          <w:szCs w:val="20"/>
          <w:lang w:val="en-US"/>
        </w:rPr>
        <w:t>4</w:t>
      </w:r>
      <w:r w:rsidR="001C46FC">
        <w:rPr>
          <w:rFonts w:eastAsia="Times New Roman"/>
          <w:szCs w:val="20"/>
          <w:lang w:val="en-US"/>
        </w:rPr>
        <w:t xml:space="preserve"> sample</w:t>
      </w:r>
      <w:r w:rsidR="007D6796">
        <w:rPr>
          <w:rFonts w:eastAsia="Times New Roman"/>
          <w:szCs w:val="20"/>
          <w:lang w:val="en-US"/>
        </w:rPr>
        <w:t>s</w:t>
      </w:r>
      <w:r w:rsidR="005060F4">
        <w:rPr>
          <w:rFonts w:eastAsia="Times New Roman"/>
          <w:szCs w:val="20"/>
          <w:lang w:val="en-US"/>
        </w:rPr>
        <w:t xml:space="preserve"> (</w:t>
      </w:r>
      <w:r w:rsidR="004F7DA2">
        <w:rPr>
          <w:rFonts w:eastAsia="Times New Roman"/>
          <w:szCs w:val="20"/>
          <w:lang w:val="en-US"/>
        </w:rPr>
        <w:t>9.3</w:t>
      </w:r>
      <w:r w:rsidR="005060F4">
        <w:rPr>
          <w:rFonts w:eastAsia="Times New Roman"/>
          <w:szCs w:val="20"/>
          <w:lang w:val="en-US"/>
        </w:rPr>
        <w:t>%)--</w:t>
      </w:r>
      <w:r w:rsidR="001C46FC">
        <w:rPr>
          <w:rFonts w:eastAsia="Times New Roman"/>
          <w:szCs w:val="20"/>
          <w:lang w:val="en-US"/>
        </w:rPr>
        <w:t>registration no</w:t>
      </w:r>
      <w:r w:rsidR="005060F4">
        <w:rPr>
          <w:rFonts w:eastAsia="Times New Roman"/>
          <w:szCs w:val="20"/>
          <w:lang w:val="en-US"/>
        </w:rPr>
        <w:t>s</w:t>
      </w:r>
      <w:r w:rsidR="001C46FC">
        <w:rPr>
          <w:rFonts w:eastAsia="Times New Roman"/>
          <w:szCs w:val="20"/>
          <w:lang w:val="en-US"/>
        </w:rPr>
        <w:t>.</w:t>
      </w:r>
      <w:r w:rsidR="005060F4">
        <w:rPr>
          <w:rFonts w:eastAsia="Times New Roman"/>
          <w:szCs w:val="20"/>
          <w:lang w:val="en-US"/>
        </w:rPr>
        <w:t xml:space="preserve"> </w:t>
      </w:r>
      <w:r w:rsidR="00573983">
        <w:rPr>
          <w:rFonts w:eastAsia="Times New Roman"/>
          <w:szCs w:val="20"/>
          <w:lang w:val="en-US"/>
        </w:rPr>
        <w:t>4107</w:t>
      </w:r>
      <w:r w:rsidR="004F7DA2">
        <w:rPr>
          <w:rFonts w:eastAsia="Times New Roman"/>
          <w:szCs w:val="20"/>
          <w:lang w:val="en-US"/>
        </w:rPr>
        <w:t>A</w:t>
      </w:r>
      <w:r w:rsidR="00573983">
        <w:rPr>
          <w:rFonts w:eastAsia="Times New Roman"/>
          <w:szCs w:val="20"/>
          <w:lang w:val="en-US"/>
        </w:rPr>
        <w:t xml:space="preserve">, </w:t>
      </w:r>
      <w:r w:rsidR="004F7DA2">
        <w:rPr>
          <w:rFonts w:eastAsia="Times New Roman"/>
          <w:szCs w:val="20"/>
          <w:lang w:val="en-US"/>
        </w:rPr>
        <w:lastRenderedPageBreak/>
        <w:t xml:space="preserve">4503, </w:t>
      </w:r>
      <w:r w:rsidR="005060F4">
        <w:rPr>
          <w:rFonts w:eastAsia="Times New Roman"/>
          <w:szCs w:val="20"/>
          <w:lang w:val="en-US"/>
        </w:rPr>
        <w:t>4536, and</w:t>
      </w:r>
      <w:r w:rsidR="001C46FC">
        <w:rPr>
          <w:rFonts w:eastAsia="Times New Roman"/>
          <w:szCs w:val="20"/>
          <w:lang w:val="en-US"/>
        </w:rPr>
        <w:t xml:space="preserve"> K3456</w:t>
      </w:r>
      <w:r w:rsidR="005060F4">
        <w:rPr>
          <w:rFonts w:eastAsia="Times New Roman"/>
          <w:szCs w:val="20"/>
          <w:lang w:val="en-US"/>
        </w:rPr>
        <w:t>--</w:t>
      </w:r>
      <w:r w:rsidR="001C46FC">
        <w:rPr>
          <w:rFonts w:eastAsia="Times New Roman"/>
          <w:szCs w:val="20"/>
          <w:lang w:val="en-US"/>
        </w:rPr>
        <w:t>w</w:t>
      </w:r>
      <w:r w:rsidR="005060F4">
        <w:rPr>
          <w:rFonts w:eastAsia="Times New Roman"/>
          <w:szCs w:val="20"/>
          <w:lang w:val="en-US"/>
        </w:rPr>
        <w:t>ere</w:t>
      </w:r>
      <w:r w:rsidR="001C46FC">
        <w:rPr>
          <w:rFonts w:eastAsia="Times New Roman"/>
          <w:szCs w:val="20"/>
          <w:lang w:val="en-US"/>
        </w:rPr>
        <w:t xml:space="preserve"> retained as originating from </w:t>
      </w:r>
      <w:r w:rsidR="00B11E77">
        <w:rPr>
          <w:rFonts w:eastAsia="Times New Roman"/>
          <w:szCs w:val="20"/>
          <w:lang w:val="en-US"/>
        </w:rPr>
        <w:t xml:space="preserve">the </w:t>
      </w:r>
      <w:r w:rsidR="001C46FC">
        <w:rPr>
          <w:rFonts w:eastAsia="Times New Roman"/>
          <w:szCs w:val="20"/>
          <w:lang w:val="en-US"/>
        </w:rPr>
        <w:t>Southern Palestin</w:t>
      </w:r>
      <w:r w:rsidR="005D5AF9">
        <w:rPr>
          <w:rFonts w:eastAsia="Times New Roman"/>
          <w:szCs w:val="20"/>
          <w:lang w:val="en-US"/>
        </w:rPr>
        <w:t>ian</w:t>
      </w:r>
      <w:r w:rsidR="00B11E77">
        <w:rPr>
          <w:rFonts w:eastAsia="Times New Roman"/>
          <w:szCs w:val="20"/>
          <w:lang w:val="en-US"/>
        </w:rPr>
        <w:t xml:space="preserve"> region</w:t>
      </w:r>
      <w:r w:rsidR="001F01C2">
        <w:rPr>
          <w:rFonts w:eastAsia="Times New Roman"/>
          <w:szCs w:val="20"/>
          <w:lang w:val="en-US"/>
        </w:rPr>
        <w:t xml:space="preserve">.  </w:t>
      </w:r>
      <w:r w:rsidR="003E0001">
        <w:rPr>
          <w:rFonts w:eastAsia="Times New Roman"/>
          <w:szCs w:val="20"/>
          <w:lang w:val="en-US"/>
        </w:rPr>
        <w:t>Another 4 samples--</w:t>
      </w:r>
      <w:r w:rsidR="003E0001" w:rsidRPr="003E0001">
        <w:rPr>
          <w:rFonts w:eastAsia="Times New Roman"/>
          <w:szCs w:val="20"/>
          <w:lang w:val="en-US"/>
        </w:rPr>
        <w:t xml:space="preserve"> </w:t>
      </w:r>
      <w:r w:rsidR="003E0001">
        <w:rPr>
          <w:rFonts w:eastAsia="Times New Roman"/>
          <w:szCs w:val="20"/>
          <w:lang w:val="en-US"/>
        </w:rPr>
        <w:t xml:space="preserve">registration nos. </w:t>
      </w:r>
      <w:r w:rsidR="00D706D6">
        <w:rPr>
          <w:rFonts w:eastAsia="Times New Roman"/>
          <w:szCs w:val="20"/>
          <w:lang w:val="en-US"/>
        </w:rPr>
        <w:t xml:space="preserve">4505A, 4551F, K2567, and K3656—went from being Southern Palestine </w:t>
      </w:r>
      <w:r w:rsidR="002E5BB1">
        <w:rPr>
          <w:rFonts w:eastAsia="Times New Roman"/>
          <w:szCs w:val="20"/>
          <w:lang w:val="en-US"/>
        </w:rPr>
        <w:t xml:space="preserve">in 1997 </w:t>
      </w:r>
      <w:r w:rsidR="00D706D6">
        <w:rPr>
          <w:rFonts w:eastAsia="Times New Roman"/>
          <w:szCs w:val="20"/>
          <w:lang w:val="en-US"/>
        </w:rPr>
        <w:t>to “Central coast of Israel”</w:t>
      </w:r>
      <w:r w:rsidR="002E5BB1">
        <w:rPr>
          <w:rFonts w:eastAsia="Times New Roman"/>
          <w:szCs w:val="20"/>
          <w:lang w:val="en-US"/>
        </w:rPr>
        <w:t xml:space="preserve"> in 2004.</w:t>
      </w:r>
    </w:p>
    <w:p w14:paraId="5D2F5B09" w14:textId="30E6300F" w:rsidR="003C2C5E" w:rsidRDefault="003C2C5E" w:rsidP="00550EBE">
      <w:pPr>
        <w:rPr>
          <w:rFonts w:eastAsia="Times New Roman"/>
          <w:szCs w:val="20"/>
          <w:lang w:val="en-US"/>
        </w:rPr>
      </w:pPr>
      <w:r>
        <w:rPr>
          <w:rFonts w:eastAsia="Times New Roman"/>
          <w:szCs w:val="20"/>
          <w:lang w:val="en-US"/>
        </w:rPr>
        <w:t xml:space="preserve">The fluidity of petrographic assignments is especially apparent when what was </w:t>
      </w:r>
      <w:r w:rsidR="00143B07">
        <w:rPr>
          <w:rFonts w:eastAsia="Times New Roman"/>
          <w:szCs w:val="20"/>
          <w:lang w:val="en-US"/>
        </w:rPr>
        <w:t xml:space="preserve">initially </w:t>
      </w:r>
      <w:r>
        <w:rPr>
          <w:rFonts w:eastAsia="Times New Roman"/>
          <w:szCs w:val="20"/>
          <w:lang w:val="en-US"/>
        </w:rPr>
        <w:t xml:space="preserve">assigned to </w:t>
      </w:r>
      <w:r w:rsidR="00394791">
        <w:rPr>
          <w:rFonts w:eastAsia="Times New Roman"/>
          <w:szCs w:val="20"/>
          <w:lang w:val="en-US"/>
        </w:rPr>
        <w:t>the southern or mid-coastal Palestine</w:t>
      </w:r>
      <w:r>
        <w:rPr>
          <w:rFonts w:eastAsia="Times New Roman"/>
          <w:szCs w:val="20"/>
          <w:lang w:val="en-US"/>
        </w:rPr>
        <w:t xml:space="preserve"> in 1997 ha</w:t>
      </w:r>
      <w:r w:rsidR="005912A7">
        <w:rPr>
          <w:rFonts w:eastAsia="Times New Roman"/>
          <w:szCs w:val="20"/>
          <w:lang w:val="en-US"/>
        </w:rPr>
        <w:t>ve</w:t>
      </w:r>
      <w:r>
        <w:rPr>
          <w:rFonts w:eastAsia="Times New Roman"/>
          <w:szCs w:val="20"/>
          <w:lang w:val="en-US"/>
        </w:rPr>
        <w:t xml:space="preserve"> been reassigned in </w:t>
      </w:r>
      <w:r w:rsidR="00007E2F">
        <w:rPr>
          <w:rFonts w:eastAsia="Times New Roman"/>
          <w:szCs w:val="20"/>
          <w:lang w:val="en-US"/>
        </w:rPr>
        <w:t>2004 to Egypt (</w:t>
      </w:r>
      <w:r w:rsidR="00F01164">
        <w:rPr>
          <w:rFonts w:eastAsia="Times New Roman"/>
          <w:szCs w:val="20"/>
          <w:lang w:val="en-US"/>
        </w:rPr>
        <w:t xml:space="preserve">registration nos. </w:t>
      </w:r>
      <w:r w:rsidR="00394791">
        <w:rPr>
          <w:rFonts w:eastAsia="Times New Roman"/>
          <w:szCs w:val="20"/>
          <w:lang w:val="en-US"/>
        </w:rPr>
        <w:t xml:space="preserve">4550B, 4549A, and 4777), and vice versa </w:t>
      </w:r>
      <w:r w:rsidR="00FF3F2E">
        <w:rPr>
          <w:rFonts w:eastAsia="Times New Roman"/>
          <w:szCs w:val="20"/>
          <w:lang w:val="en-US"/>
        </w:rPr>
        <w:t>when other samples</w:t>
      </w:r>
      <w:r w:rsidR="00394791">
        <w:rPr>
          <w:rFonts w:eastAsia="Times New Roman"/>
          <w:szCs w:val="20"/>
          <w:lang w:val="en-US"/>
        </w:rPr>
        <w:t xml:space="preserve"> </w:t>
      </w:r>
      <w:r w:rsidR="005912A7">
        <w:rPr>
          <w:rFonts w:eastAsia="Times New Roman"/>
          <w:szCs w:val="20"/>
          <w:lang w:val="en-US"/>
        </w:rPr>
        <w:t xml:space="preserve">(registration nos. </w:t>
      </w:r>
      <w:r w:rsidR="005912A7" w:rsidRPr="00CC1FF1">
        <w:rPr>
          <w:rFonts w:eastAsia="Times New Roman"/>
          <w:szCs w:val="20"/>
          <w:lang w:val="en-US"/>
        </w:rPr>
        <w:t>2532C</w:t>
      </w:r>
      <w:r w:rsidR="005912A7">
        <w:rPr>
          <w:rFonts w:eastAsia="Times New Roman"/>
          <w:szCs w:val="20"/>
          <w:lang w:val="en-US"/>
        </w:rPr>
        <w:t>,</w:t>
      </w:r>
      <w:r w:rsidR="005912A7" w:rsidRPr="00CC1FF1">
        <w:rPr>
          <w:rFonts w:eastAsia="Times New Roman"/>
          <w:szCs w:val="20"/>
          <w:lang w:val="en-US"/>
        </w:rPr>
        <w:t xml:space="preserve"> </w:t>
      </w:r>
      <w:r w:rsidR="005912A7">
        <w:rPr>
          <w:rFonts w:eastAsia="Times New Roman"/>
          <w:szCs w:val="20"/>
          <w:lang w:val="en-US"/>
        </w:rPr>
        <w:t>4539</w:t>
      </w:r>
      <w:r w:rsidR="0031716B">
        <w:rPr>
          <w:rFonts w:eastAsia="Times New Roman"/>
          <w:szCs w:val="20"/>
          <w:lang w:val="en-US"/>
        </w:rPr>
        <w:t xml:space="preserve">, </w:t>
      </w:r>
      <w:r w:rsidR="005912A7">
        <w:rPr>
          <w:rFonts w:eastAsia="Times New Roman"/>
          <w:szCs w:val="20"/>
          <w:lang w:val="en-US"/>
        </w:rPr>
        <w:t>4549C</w:t>
      </w:r>
      <w:r w:rsidR="0031716B">
        <w:rPr>
          <w:rFonts w:eastAsia="Times New Roman"/>
          <w:szCs w:val="20"/>
          <w:lang w:val="en-US"/>
        </w:rPr>
        <w:t xml:space="preserve">, and </w:t>
      </w:r>
      <w:r w:rsidR="0031716B" w:rsidRPr="0031716B">
        <w:rPr>
          <w:rFonts w:eastAsia="Times New Roman"/>
          <w:szCs w:val="20"/>
          <w:lang w:val="en-US"/>
        </w:rPr>
        <w:t>?</w:t>
      </w:r>
      <w:r w:rsidR="0031716B">
        <w:rPr>
          <w:rFonts w:eastAsia="Times New Roman"/>
          <w:szCs w:val="20"/>
          <w:lang w:val="en-US"/>
        </w:rPr>
        <w:t>/</w:t>
      </w:r>
      <w:r w:rsidR="0031716B" w:rsidRPr="0031716B">
        <w:rPr>
          <w:rFonts w:eastAsia="Times New Roman"/>
          <w:szCs w:val="20"/>
          <w:lang w:val="en-US"/>
        </w:rPr>
        <w:t>JH672</w:t>
      </w:r>
      <w:r w:rsidR="005912A7">
        <w:rPr>
          <w:rFonts w:eastAsia="Times New Roman"/>
          <w:szCs w:val="20"/>
          <w:lang w:val="en-US"/>
        </w:rPr>
        <w:t>)</w:t>
      </w:r>
      <w:r w:rsidR="002038E8">
        <w:rPr>
          <w:rFonts w:eastAsia="Times New Roman"/>
          <w:szCs w:val="20"/>
          <w:lang w:val="en-US"/>
        </w:rPr>
        <w:t xml:space="preserve"> that are </w:t>
      </w:r>
      <w:r w:rsidR="00394791">
        <w:rPr>
          <w:rFonts w:eastAsia="Times New Roman"/>
          <w:szCs w:val="20"/>
          <w:lang w:val="en-US"/>
        </w:rPr>
        <w:t xml:space="preserve">said to come from Egypt in 1997 are </w:t>
      </w:r>
      <w:r w:rsidR="00FF3F2E">
        <w:rPr>
          <w:rFonts w:eastAsia="Times New Roman"/>
          <w:szCs w:val="20"/>
          <w:lang w:val="en-US"/>
        </w:rPr>
        <w:t xml:space="preserve">reassigned </w:t>
      </w:r>
      <w:r w:rsidR="002038E8">
        <w:rPr>
          <w:rFonts w:eastAsia="Times New Roman"/>
          <w:szCs w:val="20"/>
          <w:lang w:val="en-US"/>
        </w:rPr>
        <w:t xml:space="preserve">in 2004 </w:t>
      </w:r>
      <w:r w:rsidR="00FF3F2E">
        <w:rPr>
          <w:rFonts w:eastAsia="Times New Roman"/>
          <w:szCs w:val="20"/>
          <w:lang w:val="en-US"/>
        </w:rPr>
        <w:t>as</w:t>
      </w:r>
      <w:r w:rsidR="00394791">
        <w:rPr>
          <w:rFonts w:eastAsia="Times New Roman"/>
          <w:szCs w:val="20"/>
          <w:lang w:val="en-US"/>
        </w:rPr>
        <w:t xml:space="preserve"> </w:t>
      </w:r>
      <w:r w:rsidR="000C512E">
        <w:rPr>
          <w:rFonts w:eastAsia="Times New Roman"/>
          <w:szCs w:val="20"/>
          <w:lang w:val="en-US"/>
        </w:rPr>
        <w:t xml:space="preserve">coming </w:t>
      </w:r>
      <w:r w:rsidR="00394791">
        <w:rPr>
          <w:rFonts w:eastAsia="Times New Roman"/>
          <w:szCs w:val="20"/>
          <w:lang w:val="en-US"/>
        </w:rPr>
        <w:t xml:space="preserve">from the </w:t>
      </w:r>
      <w:r w:rsidR="005912A7">
        <w:rPr>
          <w:rFonts w:eastAsia="Times New Roman"/>
          <w:szCs w:val="20"/>
          <w:lang w:val="en-US"/>
        </w:rPr>
        <w:t>“</w:t>
      </w:r>
      <w:r w:rsidR="005912A7" w:rsidRPr="005912A7">
        <w:rPr>
          <w:rFonts w:eastAsia="Times New Roman"/>
          <w:szCs w:val="20"/>
          <w:lang w:val="en-US"/>
        </w:rPr>
        <w:t>Lebanon east of the coast line Beirut-Byblos</w:t>
      </w:r>
      <w:r w:rsidR="0031716B">
        <w:rPr>
          <w:rFonts w:eastAsia="Times New Roman"/>
          <w:szCs w:val="20"/>
          <w:lang w:val="en-US"/>
        </w:rPr>
        <w:t xml:space="preserve">,” </w:t>
      </w:r>
      <w:r w:rsidR="005912A7" w:rsidRPr="005912A7">
        <w:rPr>
          <w:rFonts w:eastAsia="Times New Roman"/>
          <w:szCs w:val="20"/>
          <w:lang w:val="en-US"/>
        </w:rPr>
        <w:t xml:space="preserve"> </w:t>
      </w:r>
      <w:r w:rsidR="005912A7">
        <w:rPr>
          <w:rFonts w:eastAsia="Times New Roman"/>
          <w:szCs w:val="20"/>
          <w:lang w:val="en-US"/>
        </w:rPr>
        <w:t>the “</w:t>
      </w:r>
      <w:r w:rsidR="00394791">
        <w:rPr>
          <w:rFonts w:eastAsia="Times New Roman"/>
          <w:szCs w:val="20"/>
          <w:lang w:val="en-US"/>
        </w:rPr>
        <w:t>Northwestern Negev</w:t>
      </w:r>
      <w:r w:rsidR="005912A7">
        <w:rPr>
          <w:rFonts w:eastAsia="Times New Roman"/>
          <w:szCs w:val="20"/>
          <w:lang w:val="en-US"/>
        </w:rPr>
        <w:t>,</w:t>
      </w:r>
      <w:r w:rsidR="00D95523">
        <w:rPr>
          <w:rFonts w:eastAsia="Times New Roman"/>
          <w:szCs w:val="20"/>
          <w:lang w:val="en-US"/>
        </w:rPr>
        <w:t>”</w:t>
      </w:r>
      <w:r w:rsidR="00394791">
        <w:rPr>
          <w:rFonts w:eastAsia="Times New Roman"/>
          <w:szCs w:val="20"/>
          <w:lang w:val="en-US"/>
        </w:rPr>
        <w:t xml:space="preserve"> the </w:t>
      </w:r>
      <w:r w:rsidR="005912A7">
        <w:rPr>
          <w:rFonts w:eastAsia="Times New Roman"/>
          <w:szCs w:val="20"/>
          <w:lang w:val="en-US"/>
        </w:rPr>
        <w:t>“</w:t>
      </w:r>
      <w:r w:rsidR="00394791" w:rsidRPr="00F0144D">
        <w:rPr>
          <w:rFonts w:eastAsia="Times New Roman"/>
          <w:szCs w:val="20"/>
          <w:lang w:val="en-US"/>
        </w:rPr>
        <w:t>Northernmost Israeli coast or the Lebanese coast</w:t>
      </w:r>
      <w:r w:rsidR="00D95523">
        <w:rPr>
          <w:rFonts w:eastAsia="Times New Roman"/>
          <w:szCs w:val="20"/>
          <w:lang w:val="en-US"/>
        </w:rPr>
        <w:t>,</w:t>
      </w:r>
      <w:r w:rsidR="002038E8">
        <w:rPr>
          <w:rFonts w:eastAsia="Times New Roman"/>
          <w:szCs w:val="20"/>
          <w:lang w:val="en-US"/>
        </w:rPr>
        <w:t>”</w:t>
      </w:r>
      <w:r w:rsidR="0031716B">
        <w:rPr>
          <w:rFonts w:eastAsia="Times New Roman"/>
          <w:szCs w:val="20"/>
          <w:lang w:val="en-US"/>
        </w:rPr>
        <w:t xml:space="preserve"> and </w:t>
      </w:r>
      <w:r w:rsidR="00D95523">
        <w:rPr>
          <w:rFonts w:eastAsia="Times New Roman"/>
          <w:szCs w:val="20"/>
          <w:lang w:val="en-US"/>
        </w:rPr>
        <w:t xml:space="preserve"> </w:t>
      </w:r>
      <w:r w:rsidR="0031716B" w:rsidRPr="0031716B">
        <w:rPr>
          <w:rFonts w:eastAsia="Times New Roman"/>
          <w:szCs w:val="20"/>
          <w:lang w:val="en-US"/>
        </w:rPr>
        <w:t>the “Lebanon east of the coast line Beirut-Byblos</w:t>
      </w:r>
      <w:r w:rsidR="0031716B">
        <w:rPr>
          <w:rFonts w:eastAsia="Times New Roman"/>
          <w:szCs w:val="20"/>
          <w:lang w:val="en-US"/>
        </w:rPr>
        <w:t>,</w:t>
      </w:r>
      <w:r w:rsidR="0031716B" w:rsidRPr="0031716B">
        <w:rPr>
          <w:rFonts w:eastAsia="Times New Roman"/>
          <w:szCs w:val="20"/>
          <w:lang w:val="en-US"/>
        </w:rPr>
        <w:t xml:space="preserve">” </w:t>
      </w:r>
      <w:r w:rsidR="00D95523">
        <w:rPr>
          <w:rFonts w:eastAsia="Times New Roman"/>
          <w:szCs w:val="20"/>
          <w:lang w:val="en-US"/>
        </w:rPr>
        <w:t>respectively</w:t>
      </w:r>
      <w:r w:rsidR="0031716B">
        <w:rPr>
          <w:rFonts w:eastAsia="Times New Roman"/>
          <w:szCs w:val="20"/>
          <w:lang w:val="en-US"/>
        </w:rPr>
        <w:t>.  Only</w:t>
      </w:r>
      <w:r w:rsidR="0069743E">
        <w:rPr>
          <w:rFonts w:eastAsia="Times New Roman"/>
          <w:szCs w:val="20"/>
          <w:lang w:val="en-US"/>
        </w:rPr>
        <w:t xml:space="preserve"> </w:t>
      </w:r>
      <w:r w:rsidR="005C131A">
        <w:rPr>
          <w:rFonts w:eastAsia="Times New Roman"/>
          <w:szCs w:val="20"/>
          <w:lang w:val="en-US"/>
        </w:rPr>
        <w:t>2</w:t>
      </w:r>
      <w:r w:rsidR="0031716B">
        <w:rPr>
          <w:rFonts w:eastAsia="Times New Roman"/>
          <w:szCs w:val="20"/>
          <w:lang w:val="en-US"/>
        </w:rPr>
        <w:t xml:space="preserve"> sample</w:t>
      </w:r>
      <w:r w:rsidR="009E1756">
        <w:rPr>
          <w:rFonts w:eastAsia="Times New Roman"/>
          <w:szCs w:val="20"/>
          <w:lang w:val="en-US"/>
        </w:rPr>
        <w:t>s</w:t>
      </w:r>
      <w:r w:rsidR="0031716B">
        <w:rPr>
          <w:rFonts w:eastAsia="Times New Roman"/>
          <w:szCs w:val="20"/>
          <w:lang w:val="en-US"/>
        </w:rPr>
        <w:t xml:space="preserve"> </w:t>
      </w:r>
      <w:r w:rsidR="005C131A">
        <w:rPr>
          <w:rFonts w:eastAsia="Times New Roman"/>
          <w:szCs w:val="20"/>
          <w:lang w:val="en-US"/>
        </w:rPr>
        <w:t xml:space="preserve">(registration nos. </w:t>
      </w:r>
      <w:r w:rsidR="005C131A" w:rsidRPr="005C131A">
        <w:rPr>
          <w:rFonts w:eastAsia="Times New Roman"/>
          <w:szCs w:val="20"/>
          <w:lang w:val="en-US"/>
        </w:rPr>
        <w:t>4548C</w:t>
      </w:r>
      <w:r w:rsidR="005C131A">
        <w:rPr>
          <w:rFonts w:eastAsia="Times New Roman"/>
          <w:szCs w:val="20"/>
          <w:lang w:val="en-US"/>
        </w:rPr>
        <w:t xml:space="preserve"> and</w:t>
      </w:r>
      <w:r w:rsidR="005C131A" w:rsidRPr="005C131A">
        <w:rPr>
          <w:rFonts w:eastAsia="Times New Roman"/>
          <w:szCs w:val="20"/>
          <w:lang w:val="en-US"/>
        </w:rPr>
        <w:t xml:space="preserve"> K2810A</w:t>
      </w:r>
      <w:r w:rsidR="005C131A">
        <w:rPr>
          <w:rFonts w:eastAsia="Times New Roman"/>
          <w:szCs w:val="20"/>
          <w:lang w:val="en-US"/>
        </w:rPr>
        <w:t>) w</w:t>
      </w:r>
      <w:r w:rsidR="009E1756">
        <w:rPr>
          <w:rFonts w:eastAsia="Times New Roman"/>
          <w:szCs w:val="20"/>
          <w:lang w:val="en-US"/>
        </w:rPr>
        <w:t>ere</w:t>
      </w:r>
      <w:r w:rsidR="005C131A">
        <w:rPr>
          <w:rFonts w:eastAsia="Times New Roman"/>
          <w:szCs w:val="20"/>
          <w:lang w:val="en-US"/>
        </w:rPr>
        <w:t xml:space="preserve"> assigned to Egypt in both 1997 and 2004</w:t>
      </w:r>
      <w:r w:rsidR="009E1756">
        <w:rPr>
          <w:rFonts w:eastAsia="Times New Roman"/>
          <w:szCs w:val="20"/>
          <w:lang w:val="en-US"/>
        </w:rPr>
        <w:t xml:space="preserve">.  </w:t>
      </w:r>
      <w:r w:rsidR="002C347C">
        <w:rPr>
          <w:rFonts w:eastAsia="Times New Roman"/>
          <w:szCs w:val="20"/>
          <w:lang w:val="en-US"/>
        </w:rPr>
        <w:t>While o</w:t>
      </w:r>
      <w:r w:rsidR="009E1756">
        <w:rPr>
          <w:rFonts w:eastAsia="Times New Roman"/>
          <w:szCs w:val="20"/>
          <w:lang w:val="en-US"/>
        </w:rPr>
        <w:t>ne of the latter</w:t>
      </w:r>
      <w:r w:rsidR="002C347C">
        <w:rPr>
          <w:rFonts w:eastAsia="Times New Roman"/>
          <w:szCs w:val="20"/>
          <w:lang w:val="en-US"/>
        </w:rPr>
        <w:t xml:space="preserve"> samples</w:t>
      </w:r>
      <w:r w:rsidR="009E1756">
        <w:rPr>
          <w:rFonts w:eastAsia="Times New Roman"/>
          <w:szCs w:val="20"/>
          <w:lang w:val="en-US"/>
        </w:rPr>
        <w:t xml:space="preserve"> </w:t>
      </w:r>
      <w:r w:rsidR="00CC4D73">
        <w:rPr>
          <w:rFonts w:eastAsia="Times New Roman"/>
          <w:szCs w:val="20"/>
          <w:lang w:val="en-US"/>
        </w:rPr>
        <w:t>(</w:t>
      </w:r>
      <w:r w:rsidR="002C347C">
        <w:rPr>
          <w:rFonts w:eastAsia="Times New Roman"/>
          <w:szCs w:val="20"/>
          <w:lang w:val="en-US"/>
        </w:rPr>
        <w:t xml:space="preserve">no. </w:t>
      </w:r>
      <w:r w:rsidR="00CC4D73">
        <w:rPr>
          <w:rFonts w:eastAsia="Times New Roman"/>
          <w:szCs w:val="20"/>
          <w:lang w:val="en-US"/>
        </w:rPr>
        <w:t>K2810</w:t>
      </w:r>
      <w:r w:rsidR="002C347C">
        <w:rPr>
          <w:rFonts w:eastAsia="Times New Roman"/>
          <w:szCs w:val="20"/>
          <w:lang w:val="en-US"/>
        </w:rPr>
        <w:t>A</w:t>
      </w:r>
      <w:r w:rsidR="00CC4D73">
        <w:rPr>
          <w:rFonts w:eastAsia="Times New Roman"/>
          <w:szCs w:val="20"/>
          <w:lang w:val="en-US"/>
        </w:rPr>
        <w:t>)</w:t>
      </w:r>
      <w:r w:rsidR="009E1756">
        <w:rPr>
          <w:rFonts w:eastAsia="Times New Roman"/>
          <w:szCs w:val="20"/>
          <w:lang w:val="en-US"/>
        </w:rPr>
        <w:t xml:space="preserve"> was </w:t>
      </w:r>
      <w:r w:rsidR="005C131A">
        <w:rPr>
          <w:rFonts w:eastAsia="Times New Roman"/>
          <w:szCs w:val="20"/>
          <w:lang w:val="en-US"/>
        </w:rPr>
        <w:t>in accord with the NAA result</w:t>
      </w:r>
      <w:r w:rsidR="009E1756">
        <w:rPr>
          <w:rFonts w:eastAsia="Times New Roman"/>
          <w:szCs w:val="20"/>
          <w:lang w:val="en-US"/>
        </w:rPr>
        <w:t xml:space="preserve">, the other </w:t>
      </w:r>
      <w:r w:rsidR="00CC4D73">
        <w:rPr>
          <w:rFonts w:eastAsia="Times New Roman"/>
          <w:szCs w:val="20"/>
          <w:lang w:val="en-US"/>
        </w:rPr>
        <w:t>(</w:t>
      </w:r>
      <w:r w:rsidR="002C347C">
        <w:rPr>
          <w:rFonts w:eastAsia="Times New Roman"/>
          <w:szCs w:val="20"/>
          <w:lang w:val="en-US"/>
        </w:rPr>
        <w:t xml:space="preserve">no. </w:t>
      </w:r>
      <w:r w:rsidR="00CC4D73">
        <w:rPr>
          <w:rFonts w:eastAsia="Times New Roman"/>
          <w:szCs w:val="20"/>
          <w:lang w:val="en-US"/>
        </w:rPr>
        <w:t xml:space="preserve">4548C) was </w:t>
      </w:r>
      <w:r w:rsidR="002C347C">
        <w:rPr>
          <w:rFonts w:eastAsia="Times New Roman"/>
          <w:szCs w:val="20"/>
          <w:lang w:val="en-US"/>
        </w:rPr>
        <w:t>not</w:t>
      </w:r>
      <w:r w:rsidR="00CC4D73">
        <w:rPr>
          <w:rFonts w:eastAsia="Times New Roman"/>
          <w:szCs w:val="20"/>
          <w:lang w:val="en-US"/>
        </w:rPr>
        <w:t>.</w:t>
      </w:r>
      <w:r w:rsidR="005D42A3">
        <w:rPr>
          <w:rFonts w:eastAsia="Times New Roman"/>
          <w:szCs w:val="20"/>
          <w:lang w:val="en-US"/>
        </w:rPr>
        <w:t xml:space="preserve">  Note, too, that the 1997 </w:t>
      </w:r>
      <w:r w:rsidR="006527F5">
        <w:rPr>
          <w:rFonts w:eastAsia="Times New Roman"/>
          <w:szCs w:val="20"/>
          <w:lang w:val="en-US"/>
        </w:rPr>
        <w:t xml:space="preserve">Egyptian </w:t>
      </w:r>
      <w:r w:rsidR="005D42A3">
        <w:rPr>
          <w:rFonts w:eastAsia="Times New Roman"/>
          <w:szCs w:val="20"/>
          <w:lang w:val="en-US"/>
        </w:rPr>
        <w:t xml:space="preserve">assignments </w:t>
      </w:r>
      <w:r w:rsidR="006527F5">
        <w:rPr>
          <w:rFonts w:eastAsia="Times New Roman"/>
          <w:szCs w:val="20"/>
          <w:lang w:val="en-US"/>
        </w:rPr>
        <w:t xml:space="preserve">are mostly in agreement </w:t>
      </w:r>
      <w:r w:rsidR="005D42A3">
        <w:rPr>
          <w:rFonts w:eastAsia="Times New Roman"/>
          <w:szCs w:val="20"/>
          <w:lang w:val="en-US"/>
        </w:rPr>
        <w:t>with the NAA results</w:t>
      </w:r>
      <w:r w:rsidR="006527F5">
        <w:rPr>
          <w:rFonts w:eastAsia="Times New Roman"/>
          <w:szCs w:val="20"/>
          <w:lang w:val="en-US"/>
        </w:rPr>
        <w:t>, as opposed</w:t>
      </w:r>
      <w:r w:rsidR="005D42A3">
        <w:rPr>
          <w:rFonts w:eastAsia="Times New Roman"/>
          <w:szCs w:val="20"/>
          <w:lang w:val="en-US"/>
        </w:rPr>
        <w:t xml:space="preserve"> </w:t>
      </w:r>
      <w:r w:rsidR="006527F5">
        <w:rPr>
          <w:rFonts w:eastAsia="Times New Roman"/>
          <w:szCs w:val="20"/>
          <w:lang w:val="en-US"/>
        </w:rPr>
        <w:t xml:space="preserve">to </w:t>
      </w:r>
      <w:r w:rsidR="005D42A3">
        <w:rPr>
          <w:rFonts w:eastAsia="Times New Roman"/>
          <w:szCs w:val="20"/>
          <w:lang w:val="en-US"/>
        </w:rPr>
        <w:t xml:space="preserve">those for </w:t>
      </w:r>
      <w:r w:rsidR="00E50CAC">
        <w:rPr>
          <w:rFonts w:eastAsia="Times New Roman"/>
          <w:szCs w:val="20"/>
          <w:lang w:val="en-US"/>
        </w:rPr>
        <w:t>2004 (</w:t>
      </w:r>
      <w:r w:rsidR="006527F5">
        <w:rPr>
          <w:rFonts w:eastAsia="Times New Roman"/>
          <w:szCs w:val="20"/>
          <w:lang w:val="en-US"/>
        </w:rPr>
        <w:t xml:space="preserve">compare </w:t>
      </w:r>
      <w:r w:rsidR="00E50CAC">
        <w:rPr>
          <w:rFonts w:eastAsia="Times New Roman"/>
          <w:szCs w:val="20"/>
          <w:lang w:val="en-US"/>
        </w:rPr>
        <w:t>column</w:t>
      </w:r>
      <w:r w:rsidR="006527F5">
        <w:rPr>
          <w:rFonts w:eastAsia="Times New Roman"/>
          <w:szCs w:val="20"/>
          <w:lang w:val="en-US"/>
        </w:rPr>
        <w:t>s</w:t>
      </w:r>
      <w:r w:rsidR="004030D4">
        <w:rPr>
          <w:rFonts w:eastAsia="Times New Roman"/>
          <w:szCs w:val="20"/>
          <w:lang w:val="en-US"/>
        </w:rPr>
        <w:t xml:space="preserve"> 4 and 6).</w:t>
      </w:r>
    </w:p>
    <w:p w14:paraId="67106FF1" w14:textId="6219489C" w:rsidR="00A8435F" w:rsidRDefault="006D2334" w:rsidP="00550EBE">
      <w:pPr>
        <w:rPr>
          <w:rFonts w:eastAsia="Times New Roman"/>
          <w:szCs w:val="20"/>
          <w:lang w:val="en-US"/>
        </w:rPr>
      </w:pPr>
      <w:r>
        <w:rPr>
          <w:rFonts w:eastAsia="Times New Roman"/>
          <w:szCs w:val="20"/>
          <w:lang w:val="en-US"/>
        </w:rPr>
        <w:t xml:space="preserve">The changes </w:t>
      </w:r>
      <w:r w:rsidR="00706FF8">
        <w:rPr>
          <w:rFonts w:eastAsia="Times New Roman"/>
          <w:szCs w:val="20"/>
          <w:lang w:val="en-US"/>
        </w:rPr>
        <w:t>between 1997 and 2004 of samples assigned to</w:t>
      </w:r>
      <w:r>
        <w:rPr>
          <w:rFonts w:eastAsia="Times New Roman"/>
          <w:szCs w:val="20"/>
          <w:lang w:val="en-US"/>
        </w:rPr>
        <w:t xml:space="preserve"> the </w:t>
      </w:r>
      <w:r w:rsidR="00706FF8">
        <w:rPr>
          <w:rFonts w:eastAsia="Times New Roman"/>
          <w:szCs w:val="20"/>
          <w:lang w:val="en-US"/>
        </w:rPr>
        <w:t>“</w:t>
      </w:r>
      <w:r w:rsidRPr="006D2334">
        <w:rPr>
          <w:rFonts w:eastAsia="Times New Roman"/>
          <w:szCs w:val="20"/>
          <w:lang w:val="en-US"/>
        </w:rPr>
        <w:t>Central and Southern Hill Country</w:t>
      </w:r>
      <w:r w:rsidR="00706FF8">
        <w:rPr>
          <w:rFonts w:eastAsia="Times New Roman"/>
          <w:szCs w:val="20"/>
          <w:lang w:val="en-US"/>
        </w:rPr>
        <w:t>” to elsewhere, especially the northern Levant,</w:t>
      </w:r>
      <w:r w:rsidR="00155577">
        <w:rPr>
          <w:rFonts w:eastAsia="Times New Roman"/>
          <w:szCs w:val="20"/>
          <w:lang w:val="en-US"/>
        </w:rPr>
        <w:t xml:space="preserve"> also undergo changes</w:t>
      </w:r>
      <w:r w:rsidR="00706FF8">
        <w:rPr>
          <w:rFonts w:eastAsia="Times New Roman"/>
          <w:szCs w:val="20"/>
          <w:lang w:val="en-US"/>
        </w:rPr>
        <w:t xml:space="preserve">.  </w:t>
      </w:r>
      <w:r w:rsidR="004812BD">
        <w:rPr>
          <w:rFonts w:eastAsia="Times New Roman"/>
          <w:szCs w:val="20"/>
          <w:lang w:val="en-US"/>
        </w:rPr>
        <w:t>Only one sample (</w:t>
      </w:r>
      <w:r w:rsidR="004812BD" w:rsidRPr="004812BD">
        <w:rPr>
          <w:rFonts w:eastAsia="Times New Roman"/>
          <w:szCs w:val="20"/>
          <w:lang w:val="en-US"/>
        </w:rPr>
        <w:t>registration no</w:t>
      </w:r>
      <w:r w:rsidR="004812BD">
        <w:rPr>
          <w:rFonts w:eastAsia="Times New Roman"/>
          <w:szCs w:val="20"/>
          <w:lang w:val="en-US"/>
        </w:rPr>
        <w:t xml:space="preserve">. </w:t>
      </w:r>
      <w:r w:rsidR="00437B52">
        <w:rPr>
          <w:rFonts w:eastAsia="Times New Roman"/>
          <w:szCs w:val="20"/>
          <w:lang w:val="en-US"/>
        </w:rPr>
        <w:t xml:space="preserve">4099C) </w:t>
      </w:r>
      <w:r w:rsidR="00155577">
        <w:rPr>
          <w:rFonts w:eastAsia="Times New Roman"/>
          <w:szCs w:val="20"/>
          <w:lang w:val="en-US"/>
        </w:rPr>
        <w:t xml:space="preserve">remains the same, </w:t>
      </w:r>
      <w:r w:rsidR="00437B52">
        <w:rPr>
          <w:rFonts w:eastAsia="Times New Roman"/>
          <w:szCs w:val="20"/>
          <w:lang w:val="en-US"/>
        </w:rPr>
        <w:t xml:space="preserve">as opposed to 7 others (registration nos. 4551C, 4537, 4537A, </w:t>
      </w:r>
      <w:r w:rsidR="000A291F">
        <w:rPr>
          <w:rFonts w:eastAsia="Times New Roman"/>
          <w:szCs w:val="20"/>
          <w:lang w:val="en-US"/>
        </w:rPr>
        <w:t xml:space="preserve">4630D, 5826, 5894, and 5894C), which were variously assigned </w:t>
      </w:r>
      <w:r w:rsidR="000C512E">
        <w:rPr>
          <w:rFonts w:eastAsia="Times New Roman"/>
          <w:szCs w:val="20"/>
          <w:lang w:val="en-US"/>
        </w:rPr>
        <w:t xml:space="preserve">in 2004 </w:t>
      </w:r>
      <w:r w:rsidR="000A291F">
        <w:rPr>
          <w:rFonts w:eastAsia="Times New Roman"/>
          <w:szCs w:val="20"/>
          <w:lang w:val="en-US"/>
        </w:rPr>
        <w:t>to “</w:t>
      </w:r>
      <w:r w:rsidR="000A291F" w:rsidRPr="00F0144D">
        <w:rPr>
          <w:rFonts w:eastAsia="Times New Roman"/>
          <w:szCs w:val="20"/>
          <w:lang w:val="en-US"/>
        </w:rPr>
        <w:t>Lebanon east of the coast line Beirut-Byblos</w:t>
      </w:r>
      <w:r w:rsidR="000A291F">
        <w:rPr>
          <w:rFonts w:eastAsia="Times New Roman"/>
          <w:szCs w:val="20"/>
          <w:lang w:val="en-US"/>
        </w:rPr>
        <w:t>,” the “</w:t>
      </w:r>
      <w:r w:rsidR="000A291F" w:rsidRPr="00F0144D">
        <w:rPr>
          <w:rFonts w:eastAsia="Times New Roman"/>
          <w:szCs w:val="20"/>
          <w:lang w:val="en-US"/>
        </w:rPr>
        <w:t>Northernmost Israeli coast or the Lebanese coast</w:t>
      </w:r>
      <w:r w:rsidR="000A291F">
        <w:rPr>
          <w:rFonts w:eastAsia="Times New Roman"/>
          <w:szCs w:val="20"/>
          <w:lang w:val="en-US"/>
        </w:rPr>
        <w:t>,” “</w:t>
      </w:r>
      <w:r w:rsidR="000A291F" w:rsidRPr="000A291F">
        <w:rPr>
          <w:rFonts w:eastAsia="Times New Roman"/>
          <w:szCs w:val="20"/>
          <w:lang w:val="en-US"/>
        </w:rPr>
        <w:t>Undetermined northern Levant</w:t>
      </w:r>
      <w:r w:rsidR="000A291F">
        <w:rPr>
          <w:rFonts w:eastAsia="Times New Roman"/>
          <w:szCs w:val="20"/>
          <w:lang w:val="en-US"/>
        </w:rPr>
        <w:t xml:space="preserve">,” </w:t>
      </w:r>
      <w:r w:rsidR="00392422">
        <w:rPr>
          <w:rFonts w:eastAsia="Times New Roman"/>
          <w:szCs w:val="20"/>
          <w:lang w:val="en-US"/>
        </w:rPr>
        <w:t>the  “</w:t>
      </w:r>
      <w:r w:rsidR="00392422" w:rsidRPr="00C9356F">
        <w:rPr>
          <w:rFonts w:eastAsia="Times New Roman"/>
          <w:szCs w:val="20"/>
          <w:lang w:val="en-US"/>
        </w:rPr>
        <w:t xml:space="preserve">Northern Lebanese coast </w:t>
      </w:r>
      <w:r w:rsidR="00392422">
        <w:rPr>
          <w:rFonts w:eastAsia="Times New Roman"/>
          <w:szCs w:val="20"/>
          <w:lang w:val="en-US"/>
        </w:rPr>
        <w:t>[</w:t>
      </w:r>
      <w:r w:rsidR="00392422" w:rsidRPr="00C9356F">
        <w:rPr>
          <w:rFonts w:eastAsia="Times New Roman"/>
          <w:szCs w:val="20"/>
          <w:lang w:val="en-US"/>
        </w:rPr>
        <w:t>north of Tripoli</w:t>
      </w:r>
      <w:r w:rsidR="00392422">
        <w:rPr>
          <w:rFonts w:eastAsia="Times New Roman"/>
          <w:szCs w:val="20"/>
          <w:lang w:val="en-US"/>
        </w:rPr>
        <w:t xml:space="preserve">],” “the </w:t>
      </w:r>
      <w:r w:rsidR="00392422" w:rsidRPr="00392422">
        <w:rPr>
          <w:rFonts w:eastAsia="Times New Roman"/>
          <w:szCs w:val="20"/>
          <w:lang w:val="en-US"/>
        </w:rPr>
        <w:t>Eastern Galilee or the Yarmuq area, or the Akkar or Middle Orontes north of Qedesh</w:t>
      </w:r>
      <w:r w:rsidR="00392422">
        <w:rPr>
          <w:rFonts w:eastAsia="Times New Roman"/>
          <w:szCs w:val="20"/>
          <w:lang w:val="en-US"/>
        </w:rPr>
        <w:t>,”</w:t>
      </w:r>
      <w:r w:rsidR="00E71852">
        <w:rPr>
          <w:rFonts w:eastAsia="Times New Roman"/>
          <w:szCs w:val="20"/>
          <w:lang w:val="en-US"/>
        </w:rPr>
        <w:t>or “</w:t>
      </w:r>
      <w:r w:rsidR="00E71852" w:rsidRPr="00E71852">
        <w:rPr>
          <w:rFonts w:eastAsia="Times New Roman"/>
          <w:szCs w:val="20"/>
          <w:lang w:val="en-US"/>
        </w:rPr>
        <w:t>Northwestern Syria: Ugarit, 'Amuq area or the Cilician coast</w:t>
      </w:r>
      <w:r w:rsidR="00E71852">
        <w:rPr>
          <w:rFonts w:eastAsia="Times New Roman"/>
          <w:szCs w:val="20"/>
          <w:lang w:val="en-US"/>
        </w:rPr>
        <w:t xml:space="preserve">.”   </w:t>
      </w:r>
    </w:p>
    <w:p w14:paraId="534F58CE" w14:textId="09EA0A43" w:rsidR="00D062B3" w:rsidRDefault="005C27C0" w:rsidP="00550EBE">
      <w:pPr>
        <w:rPr>
          <w:rFonts w:eastAsia="Times New Roman"/>
          <w:szCs w:val="20"/>
          <w:lang w:val="en-US"/>
        </w:rPr>
      </w:pPr>
      <w:r>
        <w:rPr>
          <w:rFonts w:eastAsia="Times New Roman"/>
          <w:szCs w:val="20"/>
          <w:lang w:val="en-US"/>
        </w:rPr>
        <w:t>There appear</w:t>
      </w:r>
      <w:r w:rsidR="002C347C">
        <w:rPr>
          <w:rFonts w:eastAsia="Times New Roman"/>
          <w:szCs w:val="20"/>
          <w:lang w:val="en-US"/>
        </w:rPr>
        <w:t>s</w:t>
      </w:r>
      <w:r>
        <w:rPr>
          <w:rFonts w:eastAsia="Times New Roman"/>
          <w:szCs w:val="20"/>
          <w:lang w:val="en-US"/>
        </w:rPr>
        <w:t xml:space="preserve"> to be little rhyme or reason to why the </w:t>
      </w:r>
      <w:r w:rsidR="00A37496">
        <w:rPr>
          <w:rFonts w:eastAsia="Times New Roman"/>
          <w:szCs w:val="20"/>
          <w:lang w:val="en-US"/>
        </w:rPr>
        <w:t xml:space="preserve">provenance </w:t>
      </w:r>
      <w:r>
        <w:rPr>
          <w:rFonts w:eastAsia="Times New Roman"/>
          <w:szCs w:val="20"/>
          <w:lang w:val="en-US"/>
        </w:rPr>
        <w:t>changes were made</w:t>
      </w:r>
      <w:r w:rsidR="002C347C">
        <w:rPr>
          <w:rFonts w:eastAsia="Times New Roman"/>
          <w:szCs w:val="20"/>
          <w:lang w:val="en-US"/>
        </w:rPr>
        <w:t xml:space="preserve"> between 1997 and 2004</w:t>
      </w:r>
      <w:r w:rsidR="005256CF">
        <w:rPr>
          <w:rFonts w:eastAsia="Times New Roman"/>
          <w:szCs w:val="20"/>
          <w:lang w:val="en-US"/>
        </w:rPr>
        <w:t xml:space="preserve">. </w:t>
      </w:r>
      <w:r>
        <w:rPr>
          <w:rFonts w:eastAsia="Times New Roman"/>
          <w:szCs w:val="20"/>
          <w:lang w:val="en-US"/>
        </w:rPr>
        <w:t xml:space="preserve"> </w:t>
      </w:r>
      <w:r w:rsidR="005256CF">
        <w:rPr>
          <w:rFonts w:eastAsia="Times New Roman"/>
          <w:szCs w:val="20"/>
          <w:lang w:val="en-US"/>
        </w:rPr>
        <w:t>T</w:t>
      </w:r>
      <w:r w:rsidR="002C347C">
        <w:rPr>
          <w:rFonts w:eastAsia="Times New Roman"/>
          <w:szCs w:val="20"/>
          <w:lang w:val="en-US"/>
        </w:rPr>
        <w:t>hey are troubling</w:t>
      </w:r>
      <w:r w:rsidR="005256CF">
        <w:rPr>
          <w:rFonts w:eastAsia="Times New Roman"/>
          <w:szCs w:val="20"/>
          <w:lang w:val="en-US"/>
        </w:rPr>
        <w:t>,</w:t>
      </w:r>
      <w:r w:rsidR="002C347C">
        <w:rPr>
          <w:rFonts w:eastAsia="Times New Roman"/>
          <w:szCs w:val="20"/>
          <w:lang w:val="en-US"/>
        </w:rPr>
        <w:t xml:space="preserve"> because </w:t>
      </w:r>
      <w:r w:rsidR="008C4889">
        <w:rPr>
          <w:rFonts w:eastAsia="Times New Roman"/>
          <w:szCs w:val="20"/>
          <w:lang w:val="en-US"/>
        </w:rPr>
        <w:t>they have gone</w:t>
      </w:r>
      <w:r>
        <w:rPr>
          <w:rFonts w:eastAsia="Times New Roman"/>
          <w:szCs w:val="20"/>
          <w:lang w:val="en-US"/>
        </w:rPr>
        <w:t xml:space="preserve"> </w:t>
      </w:r>
      <w:r w:rsidR="008C4889">
        <w:rPr>
          <w:rFonts w:eastAsia="Times New Roman"/>
          <w:szCs w:val="20"/>
          <w:lang w:val="en-US"/>
        </w:rPr>
        <w:t>un</w:t>
      </w:r>
      <w:r>
        <w:rPr>
          <w:rFonts w:eastAsia="Times New Roman"/>
          <w:szCs w:val="20"/>
          <w:lang w:val="en-US"/>
        </w:rPr>
        <w:t>explained by Goren</w:t>
      </w:r>
      <w:r w:rsidR="00FB38F0">
        <w:rPr>
          <w:rFonts w:eastAsia="Times New Roman"/>
          <w:szCs w:val="20"/>
          <w:lang w:val="en-US"/>
        </w:rPr>
        <w:t xml:space="preserve"> or Cohen-Weinberger</w:t>
      </w:r>
      <w:r w:rsidR="008C4889">
        <w:rPr>
          <w:rFonts w:eastAsia="Times New Roman"/>
          <w:szCs w:val="20"/>
          <w:lang w:val="en-US"/>
        </w:rPr>
        <w:t>.</w:t>
      </w:r>
      <w:r>
        <w:rPr>
          <w:rFonts w:eastAsia="Times New Roman"/>
          <w:szCs w:val="20"/>
          <w:lang w:val="en-US"/>
        </w:rPr>
        <w:t xml:space="preserve"> </w:t>
      </w:r>
      <w:r w:rsidR="008C4889">
        <w:rPr>
          <w:rFonts w:eastAsia="Times New Roman"/>
          <w:szCs w:val="20"/>
          <w:lang w:val="en-US"/>
        </w:rPr>
        <w:t xml:space="preserve"> How could </w:t>
      </w:r>
      <w:r w:rsidR="00894510">
        <w:rPr>
          <w:rFonts w:eastAsia="Times New Roman"/>
          <w:szCs w:val="20"/>
          <w:lang w:val="en-US"/>
        </w:rPr>
        <w:t>so many sample</w:t>
      </w:r>
      <w:r w:rsidR="008C4889">
        <w:rPr>
          <w:rFonts w:eastAsia="Times New Roman"/>
          <w:szCs w:val="20"/>
          <w:lang w:val="en-US"/>
        </w:rPr>
        <w:t xml:space="preserve"> assignments </w:t>
      </w:r>
      <w:r w:rsidR="00DB1118">
        <w:rPr>
          <w:rFonts w:eastAsia="Times New Roman"/>
          <w:szCs w:val="20"/>
          <w:lang w:val="en-US"/>
        </w:rPr>
        <w:t>made in 1997, e</w:t>
      </w:r>
      <w:r w:rsidR="00894510">
        <w:rPr>
          <w:rFonts w:eastAsia="Times New Roman"/>
          <w:szCs w:val="20"/>
          <w:lang w:val="en-US"/>
        </w:rPr>
        <w:t>s</w:t>
      </w:r>
      <w:r w:rsidR="00DB1118">
        <w:rPr>
          <w:rFonts w:eastAsia="Times New Roman"/>
          <w:szCs w:val="20"/>
          <w:lang w:val="en-US"/>
        </w:rPr>
        <w:t>pecially for those supposedly from</w:t>
      </w:r>
      <w:r w:rsidR="008C4889">
        <w:rPr>
          <w:rFonts w:eastAsia="Times New Roman"/>
          <w:szCs w:val="20"/>
          <w:lang w:val="en-US"/>
        </w:rPr>
        <w:t xml:space="preserve"> </w:t>
      </w:r>
      <w:r w:rsidR="00894510">
        <w:rPr>
          <w:rFonts w:eastAsia="Times New Roman"/>
          <w:szCs w:val="20"/>
          <w:lang w:val="en-US"/>
        </w:rPr>
        <w:t>the southern Levant</w:t>
      </w:r>
      <w:r w:rsidR="00415634">
        <w:rPr>
          <w:rFonts w:eastAsia="Times New Roman"/>
          <w:szCs w:val="20"/>
          <w:lang w:val="en-US"/>
        </w:rPr>
        <w:t xml:space="preserve"> </w:t>
      </w:r>
      <w:r w:rsidR="00415634" w:rsidRPr="00A12AB7">
        <w:rPr>
          <w:rFonts w:eastAsia="Times New Roman"/>
          <w:szCs w:val="20"/>
          <w:lang w:val="en-US"/>
        </w:rPr>
        <w:t xml:space="preserve">(in line </w:t>
      </w:r>
      <w:r w:rsidR="00415634">
        <w:rPr>
          <w:rFonts w:eastAsia="Times New Roman"/>
          <w:szCs w:val="20"/>
          <w:lang w:val="en-US"/>
        </w:rPr>
        <w:lastRenderedPageBreak/>
        <w:t>with the two-phase</w:t>
      </w:r>
      <w:r w:rsidR="00415634" w:rsidRPr="00A12AB7">
        <w:rPr>
          <w:rFonts w:eastAsia="Times New Roman"/>
          <w:szCs w:val="20"/>
          <w:lang w:val="en-US"/>
        </w:rPr>
        <w:t xml:space="preserve"> hypothesis)</w:t>
      </w:r>
      <w:r w:rsidR="00DB1118">
        <w:rPr>
          <w:rFonts w:eastAsia="Times New Roman"/>
          <w:szCs w:val="20"/>
          <w:lang w:val="en-US"/>
        </w:rPr>
        <w:t>, have been reassigned in 2004 to the northern</w:t>
      </w:r>
      <w:r w:rsidR="00894510">
        <w:rPr>
          <w:rFonts w:eastAsia="Times New Roman"/>
          <w:szCs w:val="20"/>
          <w:lang w:val="en-US"/>
        </w:rPr>
        <w:t xml:space="preserve"> </w:t>
      </w:r>
      <w:r w:rsidR="00DB1118">
        <w:rPr>
          <w:rFonts w:eastAsia="Times New Roman"/>
          <w:szCs w:val="20"/>
          <w:lang w:val="en-US"/>
        </w:rPr>
        <w:t>Levant</w:t>
      </w:r>
      <w:r w:rsidR="00415634">
        <w:rPr>
          <w:rFonts w:eastAsia="Times New Roman"/>
          <w:szCs w:val="20"/>
          <w:lang w:val="en-US"/>
        </w:rPr>
        <w:t xml:space="preserve"> (in keeping with Bietak’s theory)</w:t>
      </w:r>
      <w:r w:rsidR="00A37496">
        <w:rPr>
          <w:rFonts w:eastAsia="Times New Roman"/>
          <w:szCs w:val="20"/>
          <w:lang w:val="en-US"/>
        </w:rPr>
        <w:t>?</w:t>
      </w:r>
      <w:r w:rsidR="00DB1118">
        <w:rPr>
          <w:rFonts w:eastAsia="Times New Roman"/>
          <w:szCs w:val="20"/>
          <w:lang w:val="en-US"/>
        </w:rPr>
        <w:t xml:space="preserve">  </w:t>
      </w:r>
      <w:r w:rsidR="00415634">
        <w:rPr>
          <w:rFonts w:eastAsia="Times New Roman"/>
          <w:szCs w:val="20"/>
          <w:lang w:val="en-US"/>
        </w:rPr>
        <w:t>Moreover, t</w:t>
      </w:r>
      <w:r w:rsidR="00DB1118">
        <w:rPr>
          <w:rFonts w:eastAsia="Times New Roman"/>
          <w:szCs w:val="20"/>
          <w:lang w:val="en-US"/>
        </w:rPr>
        <w:t xml:space="preserve">he evident flip-flops in whether a vessel was made of an Egyptian or Levantine clay </w:t>
      </w:r>
      <w:r w:rsidR="00B5342D">
        <w:rPr>
          <w:rFonts w:eastAsia="Times New Roman"/>
          <w:szCs w:val="20"/>
          <w:lang w:val="en-US"/>
        </w:rPr>
        <w:t>are similar</w:t>
      </w:r>
      <w:r w:rsidR="00415634">
        <w:rPr>
          <w:rFonts w:eastAsia="Times New Roman"/>
          <w:szCs w:val="20"/>
          <w:lang w:val="en-US"/>
        </w:rPr>
        <w:t>ly</w:t>
      </w:r>
      <w:r w:rsidR="00B5342D">
        <w:rPr>
          <w:rFonts w:eastAsia="Times New Roman"/>
          <w:szCs w:val="20"/>
          <w:lang w:val="en-US"/>
        </w:rPr>
        <w:t xml:space="preserve"> disconcerting</w:t>
      </w:r>
      <w:r w:rsidR="005256CF">
        <w:rPr>
          <w:rFonts w:eastAsia="Times New Roman"/>
          <w:szCs w:val="20"/>
          <w:lang w:val="en-US"/>
        </w:rPr>
        <w:t xml:space="preserve"> and</w:t>
      </w:r>
      <w:r w:rsidR="00B5342D">
        <w:rPr>
          <w:rFonts w:eastAsia="Times New Roman"/>
          <w:szCs w:val="20"/>
          <w:lang w:val="en-US"/>
        </w:rPr>
        <w:t xml:space="preserve"> </w:t>
      </w:r>
      <w:r w:rsidR="000D5D25">
        <w:rPr>
          <w:rFonts w:eastAsia="Times New Roman"/>
          <w:szCs w:val="20"/>
          <w:lang w:val="en-US"/>
        </w:rPr>
        <w:t xml:space="preserve">raise the issue of how seriously </w:t>
      </w:r>
      <w:r w:rsidR="000C512E">
        <w:rPr>
          <w:rFonts w:eastAsia="Times New Roman"/>
          <w:szCs w:val="20"/>
          <w:lang w:val="en-US"/>
        </w:rPr>
        <w:t xml:space="preserve">these </w:t>
      </w:r>
      <w:r w:rsidR="000D5D25">
        <w:rPr>
          <w:rFonts w:eastAsia="Times New Roman"/>
          <w:szCs w:val="20"/>
          <w:lang w:val="en-US"/>
        </w:rPr>
        <w:t xml:space="preserve">petrographic </w:t>
      </w:r>
      <w:r w:rsidR="00894510">
        <w:rPr>
          <w:rFonts w:eastAsia="Times New Roman"/>
          <w:szCs w:val="20"/>
          <w:lang w:val="en-US"/>
        </w:rPr>
        <w:t xml:space="preserve">assignments </w:t>
      </w:r>
      <w:r w:rsidR="000D5D25">
        <w:rPr>
          <w:rFonts w:eastAsia="Times New Roman"/>
          <w:szCs w:val="20"/>
          <w:lang w:val="en-US"/>
        </w:rPr>
        <w:t>are</w:t>
      </w:r>
      <w:r w:rsidR="00B5342D">
        <w:rPr>
          <w:rFonts w:eastAsia="Times New Roman"/>
          <w:szCs w:val="20"/>
          <w:lang w:val="en-US"/>
        </w:rPr>
        <w:t xml:space="preserve"> </w:t>
      </w:r>
      <w:r w:rsidR="005256CF">
        <w:rPr>
          <w:rFonts w:eastAsia="Times New Roman"/>
          <w:szCs w:val="20"/>
          <w:lang w:val="en-US"/>
        </w:rPr>
        <w:t xml:space="preserve">to be taken </w:t>
      </w:r>
      <w:r w:rsidR="00B5342D">
        <w:rPr>
          <w:rFonts w:eastAsia="Times New Roman"/>
          <w:szCs w:val="20"/>
          <w:lang w:val="en-US"/>
        </w:rPr>
        <w:t>in general</w:t>
      </w:r>
      <w:r w:rsidR="000D5D25">
        <w:rPr>
          <w:rFonts w:eastAsia="Times New Roman"/>
          <w:szCs w:val="20"/>
          <w:lang w:val="en-US"/>
        </w:rPr>
        <w:t>.</w:t>
      </w:r>
      <w:r w:rsidR="00F530F5">
        <w:rPr>
          <w:rFonts w:eastAsia="Times New Roman"/>
          <w:szCs w:val="20"/>
          <w:lang w:val="en-US"/>
        </w:rPr>
        <w:t xml:space="preserve">  </w:t>
      </w:r>
    </w:p>
    <w:p w14:paraId="0C44DBCF" w14:textId="729860F0" w:rsidR="006D2334" w:rsidRDefault="00287A19" w:rsidP="00550EBE">
      <w:pPr>
        <w:rPr>
          <w:rFonts w:eastAsia="Times New Roman"/>
          <w:szCs w:val="20"/>
          <w:lang w:val="en-US"/>
        </w:rPr>
      </w:pPr>
      <w:r>
        <w:rPr>
          <w:rFonts w:eastAsia="Times New Roman"/>
          <w:szCs w:val="20"/>
          <w:lang w:val="en-US"/>
        </w:rPr>
        <w:t xml:space="preserve">Dr. Cohen-Weinberger’s </w:t>
      </w:r>
      <w:r w:rsidR="00FB1F50">
        <w:rPr>
          <w:rFonts w:eastAsia="Times New Roman"/>
          <w:szCs w:val="20"/>
          <w:lang w:val="en-US"/>
        </w:rPr>
        <w:t xml:space="preserve">unpublished </w:t>
      </w:r>
      <w:r>
        <w:rPr>
          <w:rFonts w:eastAsia="Times New Roman"/>
          <w:szCs w:val="20"/>
          <w:lang w:val="en-US"/>
        </w:rPr>
        <w:t>doctoral dissertation</w:t>
      </w:r>
      <w:r>
        <w:rPr>
          <w:rStyle w:val="FootnoteReference"/>
          <w:rFonts w:eastAsia="Times New Roman"/>
          <w:szCs w:val="20"/>
          <w:lang w:val="en-US"/>
        </w:rPr>
        <w:footnoteReference w:id="18"/>
      </w:r>
      <w:r w:rsidR="00A1466A">
        <w:rPr>
          <w:rFonts w:eastAsia="Times New Roman"/>
          <w:szCs w:val="20"/>
          <w:lang w:val="en-US"/>
        </w:rPr>
        <w:t xml:space="preserve"> </w:t>
      </w:r>
      <w:r w:rsidR="00D062B3">
        <w:rPr>
          <w:rFonts w:eastAsia="Times New Roman"/>
          <w:szCs w:val="20"/>
          <w:lang w:val="en-US"/>
        </w:rPr>
        <w:t xml:space="preserve">is </w:t>
      </w:r>
      <w:r w:rsidR="00C2003C">
        <w:rPr>
          <w:rFonts w:eastAsia="Times New Roman"/>
          <w:szCs w:val="20"/>
          <w:lang w:val="en-US"/>
        </w:rPr>
        <w:t>similarly deplete in providing essential data</w:t>
      </w:r>
      <w:r w:rsidR="00604D4B" w:rsidRPr="00604D4B">
        <w:rPr>
          <w:rFonts w:eastAsia="Times New Roman"/>
          <w:szCs w:val="20"/>
          <w:lang w:val="en-US"/>
        </w:rPr>
        <w:t xml:space="preserve"> </w:t>
      </w:r>
      <w:r w:rsidR="00604D4B">
        <w:rPr>
          <w:rFonts w:eastAsia="Times New Roman"/>
          <w:szCs w:val="20"/>
          <w:lang w:val="en-US"/>
        </w:rPr>
        <w:t>to explain the disparities</w:t>
      </w:r>
      <w:r w:rsidR="00A1466A">
        <w:rPr>
          <w:rFonts w:eastAsia="Times New Roman"/>
          <w:szCs w:val="20"/>
          <w:lang w:val="en-US"/>
        </w:rPr>
        <w:t xml:space="preserve">, apart from </w:t>
      </w:r>
      <w:r w:rsidR="00FB1F50">
        <w:rPr>
          <w:rFonts w:eastAsia="Times New Roman"/>
          <w:szCs w:val="20"/>
          <w:lang w:val="en-US"/>
        </w:rPr>
        <w:t xml:space="preserve">brief descriptions and </w:t>
      </w:r>
      <w:r w:rsidR="00A1466A">
        <w:rPr>
          <w:rFonts w:eastAsia="Times New Roman"/>
          <w:szCs w:val="20"/>
          <w:lang w:val="en-US"/>
        </w:rPr>
        <w:t xml:space="preserve">single </w:t>
      </w:r>
      <w:r w:rsidR="00837B86">
        <w:rPr>
          <w:rFonts w:eastAsia="Times New Roman"/>
          <w:szCs w:val="20"/>
          <w:lang w:val="en-US"/>
        </w:rPr>
        <w:t>photo</w:t>
      </w:r>
      <w:r w:rsidR="00A1466A">
        <w:rPr>
          <w:rFonts w:eastAsia="Times New Roman"/>
          <w:szCs w:val="20"/>
          <w:lang w:val="en-US"/>
        </w:rPr>
        <w:t>micrographs for each sample petrographically analyzed</w:t>
      </w:r>
      <w:r w:rsidR="00604D4B">
        <w:rPr>
          <w:rFonts w:eastAsia="Times New Roman"/>
          <w:szCs w:val="20"/>
          <w:lang w:val="en-US"/>
        </w:rPr>
        <w:t>.</w:t>
      </w:r>
      <w:r w:rsidR="00FB1F50">
        <w:rPr>
          <w:rFonts w:eastAsia="Times New Roman"/>
          <w:szCs w:val="20"/>
          <w:lang w:val="en-US"/>
        </w:rPr>
        <w:t xml:space="preserve">  </w:t>
      </w:r>
      <w:r w:rsidR="00A1466A">
        <w:rPr>
          <w:rFonts w:eastAsia="Times New Roman"/>
          <w:szCs w:val="20"/>
          <w:lang w:val="en-US"/>
        </w:rPr>
        <w:t xml:space="preserve"> </w:t>
      </w:r>
      <w:r w:rsidR="00C2003C">
        <w:rPr>
          <w:rFonts w:eastAsia="Times New Roman"/>
          <w:szCs w:val="20"/>
          <w:lang w:val="en-US"/>
        </w:rPr>
        <w:t xml:space="preserve">Hence, there is no way to independently assess the statistical </w:t>
      </w:r>
      <w:r w:rsidR="00837B86">
        <w:rPr>
          <w:rFonts w:eastAsia="Times New Roman"/>
          <w:szCs w:val="20"/>
          <w:lang w:val="en-US"/>
        </w:rPr>
        <w:t>basis of</w:t>
      </w:r>
      <w:r w:rsidR="00604D4B">
        <w:rPr>
          <w:rFonts w:eastAsia="Times New Roman"/>
          <w:szCs w:val="20"/>
          <w:lang w:val="en-US"/>
        </w:rPr>
        <w:t xml:space="preserve"> the assignments.</w:t>
      </w:r>
      <w:r w:rsidR="00837B86">
        <w:rPr>
          <w:rFonts w:eastAsia="Times New Roman"/>
          <w:szCs w:val="20"/>
          <w:lang w:val="en-US"/>
        </w:rPr>
        <w:t xml:space="preserve"> </w:t>
      </w:r>
      <w:r w:rsidR="00604D4B">
        <w:rPr>
          <w:rFonts w:eastAsia="Times New Roman"/>
          <w:szCs w:val="20"/>
          <w:lang w:val="en-US"/>
        </w:rPr>
        <w:t xml:space="preserve"> Her methodology in the dissertation suffers from the same </w:t>
      </w:r>
      <w:r w:rsidR="00420BD1">
        <w:rPr>
          <w:rFonts w:eastAsia="Times New Roman"/>
          <w:szCs w:val="20"/>
          <w:lang w:val="en-US"/>
        </w:rPr>
        <w:t>deficiencies as those enumerated for Goren’s studies (#’s 1-10, above).</w:t>
      </w:r>
    </w:p>
    <w:bookmarkEnd w:id="21"/>
    <w:p w14:paraId="1DFCA74D" w14:textId="647347B9" w:rsidR="00113319" w:rsidRPr="0059317C" w:rsidRDefault="00113319" w:rsidP="00113319">
      <w:pPr>
        <w:widowControl w:val="0"/>
        <w:autoSpaceDE w:val="0"/>
        <w:autoSpaceDN w:val="0"/>
        <w:adjustRightInd w:val="0"/>
        <w:spacing w:after="0" w:line="240" w:lineRule="auto"/>
        <w:rPr>
          <w:rFonts w:eastAsia="Times New Roman"/>
          <w:szCs w:val="20"/>
          <w:lang w:val="en-US"/>
        </w:rPr>
      </w:pPr>
    </w:p>
    <w:p w14:paraId="00AAF51E" w14:textId="77777777" w:rsidR="00725DAF" w:rsidRPr="00725DAF" w:rsidRDefault="00725DAF" w:rsidP="00725DAF">
      <w:pPr>
        <w:widowControl w:val="0"/>
        <w:autoSpaceDE w:val="0"/>
        <w:autoSpaceDN w:val="0"/>
        <w:adjustRightInd w:val="0"/>
        <w:spacing w:after="0" w:line="240" w:lineRule="auto"/>
        <w:rPr>
          <w:rFonts w:eastAsia="Times New Roman"/>
          <w:b/>
          <w:szCs w:val="24"/>
          <w:lang w:val="en-US"/>
        </w:rPr>
      </w:pPr>
      <w:r w:rsidRPr="00725DAF">
        <w:rPr>
          <w:rFonts w:eastAsia="Times New Roman"/>
          <w:b/>
          <w:szCs w:val="24"/>
          <w:lang w:val="en-US"/>
        </w:rPr>
        <w:t>Were the NAA Results Incorrect?</w:t>
      </w:r>
    </w:p>
    <w:p w14:paraId="398A1F98" w14:textId="77777777" w:rsidR="00725DAF" w:rsidRDefault="00725DAF" w:rsidP="00147AE4">
      <w:pPr>
        <w:widowControl w:val="0"/>
        <w:autoSpaceDE w:val="0"/>
        <w:autoSpaceDN w:val="0"/>
        <w:adjustRightInd w:val="0"/>
        <w:spacing w:after="0" w:line="240" w:lineRule="auto"/>
        <w:rPr>
          <w:rFonts w:eastAsia="Times New Roman"/>
          <w:szCs w:val="20"/>
          <w:lang w:val="en-US"/>
        </w:rPr>
      </w:pPr>
    </w:p>
    <w:p w14:paraId="02EADDB2" w14:textId="77777777" w:rsidR="00147AE4" w:rsidRPr="0059317C" w:rsidRDefault="00147AE4" w:rsidP="00147AE4">
      <w:pPr>
        <w:widowControl w:val="0"/>
        <w:autoSpaceDE w:val="0"/>
        <w:autoSpaceDN w:val="0"/>
        <w:adjustRightInd w:val="0"/>
        <w:spacing w:after="0" w:line="240" w:lineRule="auto"/>
        <w:rPr>
          <w:rFonts w:eastAsia="Times New Roman"/>
          <w:szCs w:val="20"/>
          <w:lang w:val="en-US"/>
        </w:rPr>
      </w:pPr>
      <w:r w:rsidRPr="0059317C">
        <w:rPr>
          <w:rFonts w:eastAsia="Times New Roman"/>
          <w:szCs w:val="20"/>
          <w:lang w:val="en-US"/>
        </w:rPr>
        <w:t>By contrast</w:t>
      </w:r>
      <w:r w:rsidR="008E72D3" w:rsidRPr="0059317C">
        <w:rPr>
          <w:rFonts w:eastAsia="Times New Roman"/>
          <w:szCs w:val="20"/>
          <w:lang w:val="en-US"/>
        </w:rPr>
        <w:t xml:space="preserve"> to the limited data collection and </w:t>
      </w:r>
      <w:r w:rsidR="004E0E6F" w:rsidRPr="0059317C">
        <w:rPr>
          <w:rFonts w:eastAsia="Times New Roman"/>
          <w:szCs w:val="20"/>
          <w:lang w:val="en-US"/>
        </w:rPr>
        <w:t>weak methodology of Goren’s approach</w:t>
      </w:r>
      <w:r w:rsidRPr="0059317C">
        <w:rPr>
          <w:rFonts w:eastAsia="Times New Roman"/>
          <w:szCs w:val="20"/>
          <w:lang w:val="en-US"/>
        </w:rPr>
        <w:t xml:space="preserve">, </w:t>
      </w:r>
      <w:r w:rsidR="004E0E6F" w:rsidRPr="0059317C">
        <w:rPr>
          <w:rFonts w:eastAsia="Times New Roman"/>
          <w:szCs w:val="20"/>
          <w:lang w:val="en-US"/>
        </w:rPr>
        <w:t xml:space="preserve">the </w:t>
      </w:r>
      <w:r w:rsidRPr="0059317C">
        <w:rPr>
          <w:rFonts w:eastAsia="Times New Roman"/>
          <w:szCs w:val="20"/>
          <w:lang w:val="en-US"/>
        </w:rPr>
        <w:t>NAA database and methodology</w:t>
      </w:r>
      <w:r w:rsidR="004E0E6F" w:rsidRPr="0059317C">
        <w:rPr>
          <w:rFonts w:eastAsia="Times New Roman"/>
          <w:szCs w:val="20"/>
          <w:lang w:val="en-US"/>
        </w:rPr>
        <w:t xml:space="preserve"> w</w:t>
      </w:r>
      <w:r w:rsidR="00252ED2" w:rsidRPr="0059317C">
        <w:rPr>
          <w:rFonts w:eastAsia="Times New Roman"/>
          <w:szCs w:val="20"/>
          <w:lang w:val="en-US"/>
        </w:rPr>
        <w:t>ere</w:t>
      </w:r>
      <w:r w:rsidR="004E0E6F" w:rsidRPr="0059317C">
        <w:rPr>
          <w:rFonts w:eastAsia="Times New Roman"/>
          <w:szCs w:val="20"/>
          <w:lang w:val="en-US"/>
        </w:rPr>
        <w:t xml:space="preserve"> </w:t>
      </w:r>
      <w:r w:rsidR="00252ED2" w:rsidRPr="0059317C">
        <w:rPr>
          <w:rFonts w:eastAsia="Times New Roman"/>
          <w:szCs w:val="20"/>
          <w:lang w:val="en-US"/>
        </w:rPr>
        <w:t>“</w:t>
      </w:r>
      <w:r w:rsidR="004E0E6F" w:rsidRPr="0059317C">
        <w:rPr>
          <w:rFonts w:eastAsia="Times New Roman"/>
          <w:szCs w:val="20"/>
          <w:lang w:val="en-US"/>
        </w:rPr>
        <w:t>data-heavy</w:t>
      </w:r>
      <w:r w:rsidR="00252ED2" w:rsidRPr="0059317C">
        <w:rPr>
          <w:rFonts w:eastAsia="Times New Roman"/>
          <w:szCs w:val="20"/>
          <w:lang w:val="en-US"/>
        </w:rPr>
        <w:t>”</w:t>
      </w:r>
      <w:r w:rsidR="004E0E6F" w:rsidRPr="0059317C">
        <w:rPr>
          <w:rFonts w:eastAsia="Times New Roman"/>
          <w:szCs w:val="20"/>
          <w:lang w:val="en-US"/>
        </w:rPr>
        <w:t xml:space="preserve"> and </w:t>
      </w:r>
      <w:r w:rsidR="00D54714" w:rsidRPr="0059317C">
        <w:rPr>
          <w:rFonts w:eastAsia="Times New Roman"/>
          <w:szCs w:val="20"/>
          <w:lang w:val="en-US"/>
        </w:rPr>
        <w:t>very</w:t>
      </w:r>
      <w:r w:rsidR="00252ED2" w:rsidRPr="0059317C">
        <w:rPr>
          <w:rFonts w:eastAsia="Times New Roman"/>
          <w:szCs w:val="20"/>
          <w:lang w:val="en-US"/>
        </w:rPr>
        <w:t xml:space="preserve"> transparent </w:t>
      </w:r>
      <w:r w:rsidR="00D54714" w:rsidRPr="0059317C">
        <w:rPr>
          <w:rFonts w:eastAsia="Times New Roman"/>
          <w:szCs w:val="20"/>
          <w:lang w:val="en-US"/>
        </w:rPr>
        <w:t>and compelling for their</w:t>
      </w:r>
      <w:r w:rsidR="00252ED2" w:rsidRPr="0059317C">
        <w:rPr>
          <w:rFonts w:eastAsia="Times New Roman"/>
          <w:szCs w:val="20"/>
          <w:lang w:val="en-US"/>
        </w:rPr>
        <w:t xml:space="preserve"> group and site provenance assignment</w:t>
      </w:r>
      <w:r w:rsidR="00EE09B5" w:rsidRPr="0059317C">
        <w:rPr>
          <w:rFonts w:eastAsia="Times New Roman"/>
          <w:szCs w:val="20"/>
          <w:lang w:val="en-US"/>
        </w:rPr>
        <w:t>s</w:t>
      </w:r>
      <w:r w:rsidR="004E0E6F" w:rsidRPr="0059317C">
        <w:rPr>
          <w:rFonts w:eastAsia="Times New Roman"/>
          <w:szCs w:val="20"/>
          <w:lang w:val="en-US"/>
        </w:rPr>
        <w:t>, as follows</w:t>
      </w:r>
      <w:r w:rsidRPr="0059317C">
        <w:rPr>
          <w:rFonts w:eastAsia="Times New Roman"/>
          <w:szCs w:val="20"/>
          <w:lang w:val="en-US"/>
        </w:rPr>
        <w:t>:</w:t>
      </w:r>
      <w:bookmarkEnd w:id="13"/>
      <w:bookmarkEnd w:id="16"/>
    </w:p>
    <w:p w14:paraId="07479B95" w14:textId="77777777" w:rsidR="004E0E6F" w:rsidRPr="0059317C" w:rsidRDefault="004E0E6F" w:rsidP="00147AE4">
      <w:pPr>
        <w:widowControl w:val="0"/>
        <w:autoSpaceDE w:val="0"/>
        <w:autoSpaceDN w:val="0"/>
        <w:adjustRightInd w:val="0"/>
        <w:spacing w:after="0" w:line="240" w:lineRule="auto"/>
        <w:rPr>
          <w:rFonts w:eastAsia="Times New Roman"/>
          <w:szCs w:val="20"/>
          <w:lang w:val="en-US"/>
        </w:rPr>
      </w:pPr>
    </w:p>
    <w:p w14:paraId="61285329" w14:textId="10F21C44" w:rsidR="00147AE4" w:rsidRPr="0059317C" w:rsidRDefault="00147AE4" w:rsidP="00147AE4">
      <w:pPr>
        <w:widowControl w:val="0"/>
        <w:autoSpaceDE w:val="0"/>
        <w:autoSpaceDN w:val="0"/>
        <w:adjustRightInd w:val="0"/>
        <w:spacing w:after="0" w:line="240" w:lineRule="auto"/>
        <w:ind w:left="720" w:hanging="720"/>
        <w:rPr>
          <w:rFonts w:eastAsia="Times New Roman"/>
          <w:szCs w:val="20"/>
          <w:lang w:val="en-US"/>
        </w:rPr>
      </w:pPr>
      <w:r w:rsidRPr="0059317C">
        <w:rPr>
          <w:rFonts w:eastAsia="Times New Roman"/>
          <w:szCs w:val="20"/>
          <w:lang w:val="en-US"/>
        </w:rPr>
        <w:t xml:space="preserve">a) 608 well-provenienced and </w:t>
      </w:r>
      <w:r w:rsidR="00C7761A">
        <w:rPr>
          <w:rFonts w:eastAsia="Times New Roman"/>
          <w:szCs w:val="20"/>
          <w:lang w:val="en-US"/>
        </w:rPr>
        <w:t>well</w:t>
      </w:r>
      <w:r w:rsidR="00207A7D">
        <w:rPr>
          <w:rFonts w:eastAsia="Times New Roman"/>
          <w:szCs w:val="20"/>
          <w:lang w:val="en-US"/>
        </w:rPr>
        <w:t>-</w:t>
      </w:r>
      <w:r w:rsidRPr="0059317C">
        <w:rPr>
          <w:rFonts w:eastAsia="Times New Roman"/>
          <w:szCs w:val="20"/>
          <w:lang w:val="en-US"/>
        </w:rPr>
        <w:t>dated MBA pottery samples from Tell el-Dab`a, as well as clay bed samples from throughout Egypt</w:t>
      </w:r>
      <w:r w:rsidR="00207A7D">
        <w:rPr>
          <w:rFonts w:eastAsia="Times New Roman"/>
          <w:szCs w:val="20"/>
          <w:lang w:val="en-US"/>
        </w:rPr>
        <w:t>,</w:t>
      </w:r>
      <w:r w:rsidR="00EE09B5" w:rsidRPr="0059317C">
        <w:rPr>
          <w:rFonts w:eastAsia="Times New Roman"/>
          <w:szCs w:val="20"/>
          <w:lang w:val="en-US"/>
        </w:rPr>
        <w:t xml:space="preserve"> were analyzed</w:t>
      </w:r>
      <w:r w:rsidRPr="0059317C">
        <w:rPr>
          <w:rFonts w:eastAsia="Times New Roman"/>
          <w:szCs w:val="20"/>
          <w:lang w:val="en-US"/>
        </w:rPr>
        <w:t>;</w:t>
      </w:r>
    </w:p>
    <w:p w14:paraId="630B26EC" w14:textId="121ECAC4" w:rsidR="00147AE4" w:rsidRPr="0059317C" w:rsidRDefault="00147AE4" w:rsidP="00147AE4">
      <w:pPr>
        <w:widowControl w:val="0"/>
        <w:autoSpaceDE w:val="0"/>
        <w:autoSpaceDN w:val="0"/>
        <w:adjustRightInd w:val="0"/>
        <w:spacing w:after="0" w:line="240" w:lineRule="auto"/>
        <w:ind w:left="720" w:hanging="720"/>
        <w:rPr>
          <w:rFonts w:eastAsia="Times New Roman"/>
          <w:szCs w:val="20"/>
          <w:lang w:val="en-US"/>
        </w:rPr>
      </w:pPr>
      <w:r w:rsidRPr="0059317C">
        <w:rPr>
          <w:rFonts w:eastAsia="Times New Roman"/>
          <w:szCs w:val="20"/>
          <w:lang w:val="en-US"/>
        </w:rPr>
        <w:t>b) 810 pottery samples</w:t>
      </w:r>
      <w:r w:rsidR="00C7761A" w:rsidRPr="0059317C">
        <w:rPr>
          <w:rFonts w:eastAsia="Times New Roman"/>
          <w:szCs w:val="20"/>
          <w:lang w:val="en-US"/>
        </w:rPr>
        <w:t>, primarily MBA in date</w:t>
      </w:r>
      <w:r w:rsidR="00207A7D" w:rsidRPr="00207A7D">
        <w:rPr>
          <w:rFonts w:eastAsia="Times New Roman"/>
          <w:szCs w:val="20"/>
          <w:lang w:val="en-US"/>
        </w:rPr>
        <w:t xml:space="preserve"> </w:t>
      </w:r>
      <w:r w:rsidR="00207A7D">
        <w:rPr>
          <w:rFonts w:eastAsia="Times New Roman"/>
          <w:szCs w:val="20"/>
          <w:lang w:val="en-US"/>
        </w:rPr>
        <w:t xml:space="preserve">and generally </w:t>
      </w:r>
      <w:r w:rsidR="00207A7D" w:rsidRPr="0059317C">
        <w:rPr>
          <w:rFonts w:eastAsia="Times New Roman"/>
          <w:szCs w:val="20"/>
          <w:lang w:val="en-US"/>
        </w:rPr>
        <w:t xml:space="preserve">well-provenienced and </w:t>
      </w:r>
      <w:r w:rsidR="00207A7D">
        <w:rPr>
          <w:rFonts w:eastAsia="Times New Roman"/>
          <w:szCs w:val="20"/>
          <w:lang w:val="en-US"/>
        </w:rPr>
        <w:t>well-</w:t>
      </w:r>
      <w:r w:rsidR="00207A7D" w:rsidRPr="0059317C">
        <w:rPr>
          <w:rFonts w:eastAsia="Times New Roman"/>
          <w:szCs w:val="20"/>
          <w:lang w:val="en-US"/>
        </w:rPr>
        <w:t>dated</w:t>
      </w:r>
      <w:r w:rsidR="00C7761A">
        <w:rPr>
          <w:rFonts w:eastAsia="Times New Roman"/>
          <w:szCs w:val="20"/>
          <w:lang w:val="en-US"/>
        </w:rPr>
        <w:t>,</w:t>
      </w:r>
      <w:r w:rsidR="00C7761A" w:rsidRPr="0059317C">
        <w:rPr>
          <w:rFonts w:eastAsia="Times New Roman"/>
          <w:szCs w:val="20"/>
          <w:lang w:val="en-US"/>
        </w:rPr>
        <w:t xml:space="preserve"> </w:t>
      </w:r>
      <w:r w:rsidRPr="0059317C">
        <w:rPr>
          <w:rFonts w:eastAsia="Times New Roman"/>
          <w:szCs w:val="20"/>
          <w:lang w:val="en-US"/>
        </w:rPr>
        <w:t>from 55 coastal and inland sites of Syria, Lebanon, Jordan</w:t>
      </w:r>
      <w:r w:rsidR="00C7761A">
        <w:rPr>
          <w:rFonts w:eastAsia="Times New Roman"/>
          <w:szCs w:val="20"/>
          <w:lang w:val="en-US"/>
        </w:rPr>
        <w:t>,</w:t>
      </w:r>
      <w:r w:rsidRPr="0059317C">
        <w:rPr>
          <w:rFonts w:eastAsia="Times New Roman"/>
          <w:szCs w:val="20"/>
          <w:lang w:val="en-US"/>
        </w:rPr>
        <w:t xml:space="preserve"> Israel, the West Bank</w:t>
      </w:r>
      <w:r w:rsidR="00C7761A">
        <w:rPr>
          <w:rFonts w:eastAsia="Times New Roman"/>
          <w:szCs w:val="20"/>
          <w:lang w:val="en-US"/>
        </w:rPr>
        <w:t>,</w:t>
      </w:r>
      <w:r w:rsidRPr="0059317C">
        <w:rPr>
          <w:rFonts w:eastAsia="Times New Roman"/>
          <w:szCs w:val="20"/>
          <w:lang w:val="en-US"/>
        </w:rPr>
        <w:t xml:space="preserve"> and Gaza</w:t>
      </w:r>
      <w:r w:rsidR="00C7761A">
        <w:rPr>
          <w:rFonts w:eastAsia="Times New Roman"/>
          <w:szCs w:val="20"/>
          <w:lang w:val="en-US"/>
        </w:rPr>
        <w:t xml:space="preserve"> Strip</w:t>
      </w:r>
      <w:r w:rsidRPr="0059317C">
        <w:rPr>
          <w:rFonts w:eastAsia="Times New Roman"/>
          <w:szCs w:val="20"/>
          <w:lang w:val="en-US"/>
        </w:rPr>
        <w:t xml:space="preserve">, </w:t>
      </w:r>
      <w:r w:rsidR="00207A7D">
        <w:rPr>
          <w:rFonts w:eastAsia="Times New Roman"/>
          <w:szCs w:val="20"/>
          <w:lang w:val="en-US"/>
        </w:rPr>
        <w:t>together with numerous</w:t>
      </w:r>
      <w:r w:rsidRPr="0059317C">
        <w:t xml:space="preserve"> </w:t>
      </w:r>
      <w:r w:rsidRPr="0059317C">
        <w:rPr>
          <w:rFonts w:eastAsia="Times New Roman"/>
          <w:szCs w:val="20"/>
          <w:lang w:val="en-US"/>
        </w:rPr>
        <w:t xml:space="preserve">clay bed samples from </w:t>
      </w:r>
      <w:r w:rsidR="00C7761A">
        <w:rPr>
          <w:rFonts w:eastAsia="Times New Roman"/>
          <w:szCs w:val="20"/>
          <w:lang w:val="en-US"/>
        </w:rPr>
        <w:t>the same areas</w:t>
      </w:r>
      <w:r w:rsidR="00207A7D">
        <w:rPr>
          <w:rFonts w:eastAsia="Times New Roman"/>
          <w:szCs w:val="20"/>
          <w:lang w:val="en-US"/>
        </w:rPr>
        <w:t>,</w:t>
      </w:r>
      <w:r w:rsidR="00EE09B5" w:rsidRPr="0059317C">
        <w:rPr>
          <w:rFonts w:eastAsia="Times New Roman"/>
          <w:szCs w:val="20"/>
          <w:lang w:val="en-US"/>
        </w:rPr>
        <w:t xml:space="preserve"> were analyzed</w:t>
      </w:r>
      <w:r w:rsidRPr="0059317C">
        <w:rPr>
          <w:rFonts w:eastAsia="Times New Roman"/>
          <w:szCs w:val="20"/>
          <w:lang w:val="en-US"/>
        </w:rPr>
        <w:t xml:space="preserve">.  Where local </w:t>
      </w:r>
      <w:r w:rsidR="00207A7D">
        <w:rPr>
          <w:rFonts w:eastAsia="Times New Roman"/>
          <w:szCs w:val="20"/>
          <w:lang w:val="en-US"/>
        </w:rPr>
        <w:t xml:space="preserve">clay </w:t>
      </w:r>
      <w:r w:rsidRPr="0059317C">
        <w:rPr>
          <w:rFonts w:eastAsia="Times New Roman"/>
          <w:szCs w:val="20"/>
          <w:lang w:val="en-US"/>
        </w:rPr>
        <w:t xml:space="preserve">deposits were lacking, mudbricks, cooking pots, and wasters of probable local origin were analyzed and tested for local compositional group membership; </w:t>
      </w:r>
    </w:p>
    <w:p w14:paraId="3DE110E3" w14:textId="420518C4" w:rsidR="00147AE4" w:rsidRPr="0059317C" w:rsidRDefault="00147AE4" w:rsidP="00147AE4">
      <w:pPr>
        <w:widowControl w:val="0"/>
        <w:autoSpaceDE w:val="0"/>
        <w:autoSpaceDN w:val="0"/>
        <w:adjustRightInd w:val="0"/>
        <w:spacing w:after="0" w:line="240" w:lineRule="auto"/>
        <w:rPr>
          <w:rFonts w:eastAsia="Times New Roman"/>
          <w:szCs w:val="20"/>
          <w:lang w:val="en-US"/>
        </w:rPr>
      </w:pPr>
      <w:r w:rsidRPr="0059317C">
        <w:rPr>
          <w:rFonts w:eastAsia="Times New Roman"/>
          <w:szCs w:val="20"/>
          <w:lang w:val="en-US"/>
        </w:rPr>
        <w:t>c) 4</w:t>
      </w:r>
      <w:r w:rsidR="0015320B" w:rsidRPr="0059317C">
        <w:rPr>
          <w:rFonts w:eastAsia="Times New Roman"/>
          <w:szCs w:val="20"/>
          <w:lang w:val="en-US"/>
        </w:rPr>
        <w:t>583</w:t>
      </w:r>
      <w:r w:rsidRPr="0059317C">
        <w:rPr>
          <w:rFonts w:eastAsia="Times New Roman"/>
          <w:szCs w:val="20"/>
          <w:lang w:val="en-US"/>
        </w:rPr>
        <w:t xml:space="preserve"> well-provenienced and dated pottery and clay samples from elsewhere in the ancient Near East </w:t>
      </w:r>
      <w:r w:rsidR="00C7761A">
        <w:rPr>
          <w:rFonts w:eastAsia="Times New Roman"/>
          <w:szCs w:val="20"/>
          <w:lang w:val="en-US"/>
        </w:rPr>
        <w:t>covering</w:t>
      </w:r>
      <w:r w:rsidRPr="0059317C">
        <w:rPr>
          <w:rFonts w:eastAsia="Times New Roman"/>
          <w:szCs w:val="20"/>
          <w:lang w:val="en-US"/>
        </w:rPr>
        <w:t xml:space="preserve"> other periods</w:t>
      </w:r>
      <w:r w:rsidR="00EE09B5" w:rsidRPr="0059317C">
        <w:rPr>
          <w:rFonts w:eastAsia="Times New Roman"/>
          <w:szCs w:val="20"/>
          <w:lang w:val="en-US"/>
        </w:rPr>
        <w:t xml:space="preserve"> were analyzed.</w:t>
      </w:r>
    </w:p>
    <w:p w14:paraId="7E51B68B" w14:textId="77777777" w:rsidR="00121BE3" w:rsidRPr="0059317C" w:rsidRDefault="00121BE3" w:rsidP="00147AE4">
      <w:pPr>
        <w:widowControl w:val="0"/>
        <w:autoSpaceDE w:val="0"/>
        <w:autoSpaceDN w:val="0"/>
        <w:adjustRightInd w:val="0"/>
        <w:spacing w:after="0" w:line="240" w:lineRule="auto"/>
        <w:rPr>
          <w:rFonts w:eastAsia="Times New Roman"/>
          <w:szCs w:val="20"/>
          <w:lang w:val="en-US"/>
        </w:rPr>
      </w:pPr>
    </w:p>
    <w:p w14:paraId="1FD4E9C9" w14:textId="77777777" w:rsidR="00147AE4" w:rsidRPr="0059317C" w:rsidRDefault="00DA4D54" w:rsidP="00147AE4">
      <w:pPr>
        <w:widowControl w:val="0"/>
        <w:autoSpaceDE w:val="0"/>
        <w:autoSpaceDN w:val="0"/>
        <w:adjustRightInd w:val="0"/>
        <w:spacing w:after="0" w:line="240" w:lineRule="auto"/>
        <w:rPr>
          <w:rFonts w:eastAsia="Times New Roman"/>
          <w:szCs w:val="20"/>
          <w:lang w:val="en-US"/>
        </w:rPr>
      </w:pPr>
      <w:r w:rsidRPr="0059317C">
        <w:rPr>
          <w:rFonts w:eastAsia="Times New Roman"/>
          <w:szCs w:val="20"/>
          <w:lang w:val="en-US"/>
        </w:rPr>
        <w:t>Unlike Goren’s petrographic studies, t</w:t>
      </w:r>
      <w:r w:rsidR="00121BE3" w:rsidRPr="0059317C">
        <w:rPr>
          <w:rFonts w:eastAsia="Times New Roman"/>
          <w:szCs w:val="20"/>
          <w:lang w:val="en-US"/>
        </w:rPr>
        <w:t xml:space="preserve">he primary archaeological and NAA data are </w:t>
      </w:r>
      <w:r w:rsidRPr="0059317C">
        <w:rPr>
          <w:rFonts w:eastAsia="Times New Roman"/>
          <w:szCs w:val="20"/>
          <w:lang w:val="en-US"/>
        </w:rPr>
        <w:t xml:space="preserve">fully </w:t>
      </w:r>
      <w:r w:rsidR="00121BE3" w:rsidRPr="0059317C">
        <w:rPr>
          <w:rFonts w:eastAsia="Times New Roman"/>
          <w:szCs w:val="20"/>
          <w:lang w:val="en-US"/>
        </w:rPr>
        <w:t>published in this book and on-line for the samples run by the Missouri lab</w:t>
      </w:r>
      <w:r w:rsidR="00171B2B" w:rsidRPr="0059317C">
        <w:rPr>
          <w:rFonts w:eastAsia="Times New Roman"/>
          <w:szCs w:val="20"/>
          <w:lang w:val="en-US"/>
        </w:rPr>
        <w:t xml:space="preserve"> and those in the</w:t>
      </w:r>
      <w:r w:rsidRPr="0059317C">
        <w:rPr>
          <w:rFonts w:eastAsia="Times New Roman"/>
          <w:szCs w:val="20"/>
          <w:lang w:val="en-US"/>
        </w:rPr>
        <w:t xml:space="preserve"> Brookhaven </w:t>
      </w:r>
      <w:r w:rsidR="00171B2B" w:rsidRPr="0059317C">
        <w:rPr>
          <w:rFonts w:eastAsia="Times New Roman"/>
          <w:szCs w:val="20"/>
          <w:lang w:val="en-US"/>
        </w:rPr>
        <w:t xml:space="preserve">Old World </w:t>
      </w:r>
      <w:r w:rsidRPr="0059317C">
        <w:rPr>
          <w:rFonts w:eastAsia="Times New Roman"/>
          <w:szCs w:val="20"/>
          <w:lang w:val="en-US"/>
        </w:rPr>
        <w:t>data</w:t>
      </w:r>
      <w:r w:rsidR="00171B2B" w:rsidRPr="0059317C">
        <w:rPr>
          <w:rFonts w:eastAsia="Times New Roman"/>
          <w:szCs w:val="20"/>
          <w:lang w:val="en-US"/>
        </w:rPr>
        <w:t>base</w:t>
      </w:r>
      <w:r w:rsidR="00FF3BAD">
        <w:rPr>
          <w:rFonts w:eastAsia="Times New Roman"/>
          <w:szCs w:val="20"/>
          <w:lang w:val="en-US"/>
        </w:rPr>
        <w:t xml:space="preserve"> (</w:t>
      </w:r>
      <w:hyperlink r:id="rId10" w:history="1">
        <w:r w:rsidR="00FF3BAD" w:rsidRPr="00E330A9">
          <w:rPr>
            <w:rStyle w:val="Hyperlink"/>
            <w:rFonts w:eastAsiaTheme="minorEastAsia"/>
            <w:szCs w:val="20"/>
            <w:lang w:val="en-US"/>
          </w:rPr>
          <w:t>www.archaeometry.missouri.edu</w:t>
        </w:r>
      </w:hyperlink>
      <w:r w:rsidR="00FF3BAD">
        <w:rPr>
          <w:rFonts w:eastAsiaTheme="minorEastAsia"/>
          <w:szCs w:val="20"/>
          <w:lang w:val="en-US"/>
        </w:rPr>
        <w:t>)</w:t>
      </w:r>
      <w:r w:rsidR="001C00ED">
        <w:rPr>
          <w:rFonts w:eastAsia="Times New Roman"/>
          <w:szCs w:val="20"/>
          <w:lang w:val="en-US"/>
        </w:rPr>
        <w:t>.</w:t>
      </w:r>
    </w:p>
    <w:p w14:paraId="46197E17" w14:textId="77777777" w:rsidR="00171B2B" w:rsidRPr="0059317C" w:rsidRDefault="00171B2B" w:rsidP="00147AE4">
      <w:pPr>
        <w:widowControl w:val="0"/>
        <w:autoSpaceDE w:val="0"/>
        <w:autoSpaceDN w:val="0"/>
        <w:adjustRightInd w:val="0"/>
        <w:spacing w:after="0" w:line="240" w:lineRule="auto"/>
        <w:rPr>
          <w:rFonts w:eastAsia="Times New Roman"/>
          <w:szCs w:val="20"/>
          <w:lang w:val="en-US"/>
        </w:rPr>
      </w:pPr>
    </w:p>
    <w:p w14:paraId="5B07096D" w14:textId="77777777" w:rsidR="00B024F1" w:rsidRPr="0059317C" w:rsidRDefault="00147AE4" w:rsidP="00B024F1">
      <w:pPr>
        <w:widowControl w:val="0"/>
        <w:autoSpaceDE w:val="0"/>
        <w:autoSpaceDN w:val="0"/>
        <w:adjustRightInd w:val="0"/>
        <w:spacing w:after="0" w:line="240" w:lineRule="auto"/>
        <w:rPr>
          <w:rFonts w:eastAsia="Times New Roman"/>
          <w:szCs w:val="20"/>
          <w:lang w:val="en-US"/>
        </w:rPr>
      </w:pPr>
      <w:r w:rsidRPr="0059317C">
        <w:rPr>
          <w:rFonts w:eastAsia="Times New Roman"/>
          <w:szCs w:val="20"/>
          <w:lang w:val="en-US"/>
        </w:rPr>
        <w:t xml:space="preserve">The NAA data provided by these </w:t>
      </w:r>
      <w:r w:rsidR="002A189D" w:rsidRPr="0059317C">
        <w:rPr>
          <w:rFonts w:eastAsia="Times New Roman"/>
          <w:szCs w:val="20"/>
          <w:lang w:val="en-US"/>
        </w:rPr>
        <w:t>6001</w:t>
      </w:r>
      <w:r w:rsidRPr="0059317C">
        <w:rPr>
          <w:rFonts w:eastAsia="Times New Roman"/>
          <w:szCs w:val="20"/>
          <w:lang w:val="en-US"/>
        </w:rPr>
        <w:t xml:space="preserve"> samples were </w:t>
      </w:r>
      <w:r w:rsidR="00EE09B5" w:rsidRPr="0059317C">
        <w:rPr>
          <w:rFonts w:eastAsia="Times New Roman"/>
          <w:szCs w:val="20"/>
          <w:lang w:val="en-US"/>
        </w:rPr>
        <w:t xml:space="preserve">then </w:t>
      </w:r>
      <w:r w:rsidRPr="0059317C">
        <w:rPr>
          <w:rFonts w:eastAsia="Times New Roman"/>
          <w:szCs w:val="20"/>
          <w:lang w:val="en-US"/>
        </w:rPr>
        <w:t xml:space="preserve">subjected to rigorous statistical analysis to establish site-specific and regional groups to high degrees of probability.  </w:t>
      </w:r>
      <w:r w:rsidR="00225700" w:rsidRPr="0059317C">
        <w:rPr>
          <w:rFonts w:eastAsia="Times New Roman"/>
          <w:szCs w:val="20"/>
          <w:lang w:val="en-US"/>
        </w:rPr>
        <w:t>P</w:t>
      </w:r>
      <w:r w:rsidR="00B024F1" w:rsidRPr="0059317C">
        <w:rPr>
          <w:rFonts w:eastAsia="Times New Roman"/>
          <w:szCs w:val="20"/>
          <w:lang w:val="en-US"/>
        </w:rPr>
        <w:t xml:space="preserve">owerful multi-variate algorithms, based on as many as 35 chemical elements at part-per-million levels, served as independent variables in our NAA study.  </w:t>
      </w:r>
      <w:bookmarkStart w:id="22" w:name="_Hlk8447154"/>
      <w:r w:rsidR="00B024F1" w:rsidRPr="0059317C">
        <w:rPr>
          <w:rFonts w:eastAsia="Times New Roman"/>
          <w:szCs w:val="20"/>
          <w:lang w:val="en-US"/>
        </w:rPr>
        <w:t xml:space="preserve">The accuracy of the data and statistical criteria were so stringent that there was, amazingly, </w:t>
      </w:r>
      <w:r w:rsidR="00B024F1" w:rsidRPr="004030D4">
        <w:rPr>
          <w:rFonts w:eastAsia="Times New Roman"/>
          <w:b/>
          <w:szCs w:val="20"/>
          <w:lang w:val="en-US"/>
        </w:rPr>
        <w:t>a nearly 0% probability that the 268 pottery vessels comprising the Gaza group of imported pottery at Tell el-Dab`a were misassigned</w:t>
      </w:r>
      <w:r w:rsidR="00B024F1" w:rsidRPr="0059317C">
        <w:rPr>
          <w:rFonts w:eastAsia="Times New Roman"/>
          <w:szCs w:val="20"/>
          <w:lang w:val="en-US"/>
        </w:rPr>
        <w:t xml:space="preserve"> (p. 25).  That finding alone should have been reason enough to reject the petrographic results.</w:t>
      </w:r>
      <w:bookmarkEnd w:id="22"/>
    </w:p>
    <w:p w14:paraId="380188F8" w14:textId="77777777" w:rsidR="00153F1D" w:rsidRPr="0059317C" w:rsidRDefault="00153F1D" w:rsidP="00132523">
      <w:pPr>
        <w:widowControl w:val="0"/>
        <w:autoSpaceDE w:val="0"/>
        <w:autoSpaceDN w:val="0"/>
        <w:adjustRightInd w:val="0"/>
        <w:spacing w:after="0" w:line="240" w:lineRule="auto"/>
        <w:rPr>
          <w:rFonts w:eastAsia="Times New Roman"/>
          <w:szCs w:val="20"/>
          <w:lang w:val="en-US"/>
        </w:rPr>
      </w:pPr>
    </w:p>
    <w:p w14:paraId="2DF05AED" w14:textId="10CEF2E1" w:rsidR="00132523" w:rsidRPr="0059317C" w:rsidRDefault="00E6512C" w:rsidP="00132523">
      <w:pPr>
        <w:widowControl w:val="0"/>
        <w:autoSpaceDE w:val="0"/>
        <w:autoSpaceDN w:val="0"/>
        <w:adjustRightInd w:val="0"/>
        <w:spacing w:after="0" w:line="240" w:lineRule="auto"/>
        <w:rPr>
          <w:rFonts w:eastAsia="Times New Roman"/>
          <w:b/>
          <w:szCs w:val="20"/>
          <w:lang w:val="en-US"/>
        </w:rPr>
      </w:pPr>
      <w:r w:rsidRPr="0059317C">
        <w:rPr>
          <w:rFonts w:eastAsia="Times New Roman"/>
          <w:szCs w:val="20"/>
          <w:lang w:val="en-US"/>
        </w:rPr>
        <w:t xml:space="preserve">The first </w:t>
      </w:r>
      <w:r w:rsidR="00A80FE4" w:rsidRPr="0059317C">
        <w:rPr>
          <w:rFonts w:eastAsia="Times New Roman"/>
          <w:szCs w:val="20"/>
          <w:lang w:val="en-US"/>
        </w:rPr>
        <w:t xml:space="preserve">pilot </w:t>
      </w:r>
      <w:r w:rsidRPr="0059317C">
        <w:rPr>
          <w:rFonts w:eastAsia="Times New Roman"/>
          <w:szCs w:val="20"/>
          <w:lang w:val="en-US"/>
        </w:rPr>
        <w:t>study</w:t>
      </w:r>
      <w:r w:rsidR="007C0E4A" w:rsidRPr="0059317C">
        <w:rPr>
          <w:rFonts w:eastAsia="Times New Roman"/>
          <w:szCs w:val="20"/>
          <w:lang w:val="en-US"/>
        </w:rPr>
        <w:t xml:space="preserve"> of the Baq`ah Valley (Jordan) Late Bronze </w:t>
      </w:r>
      <w:r w:rsidR="00DE73B4" w:rsidRPr="0059317C">
        <w:rPr>
          <w:rFonts w:eastAsia="Times New Roman"/>
          <w:szCs w:val="20"/>
          <w:lang w:val="en-US"/>
        </w:rPr>
        <w:t xml:space="preserve">(LB) </w:t>
      </w:r>
      <w:r w:rsidR="007C0E4A" w:rsidRPr="0059317C">
        <w:rPr>
          <w:rFonts w:eastAsia="Times New Roman"/>
          <w:szCs w:val="20"/>
          <w:lang w:val="en-US"/>
        </w:rPr>
        <w:t>pottery</w:t>
      </w:r>
      <w:r w:rsidRPr="0059317C">
        <w:rPr>
          <w:rFonts w:eastAsia="Times New Roman"/>
          <w:szCs w:val="20"/>
          <w:lang w:val="en-US"/>
        </w:rPr>
        <w:t xml:space="preserve"> that I did with </w:t>
      </w:r>
      <w:r w:rsidR="00330EBF" w:rsidRPr="0059317C">
        <w:rPr>
          <w:rFonts w:eastAsia="Times New Roman"/>
          <w:szCs w:val="20"/>
          <w:lang w:val="en-US"/>
        </w:rPr>
        <w:t>Dr.</w:t>
      </w:r>
      <w:r w:rsidRPr="0059317C">
        <w:rPr>
          <w:rFonts w:eastAsia="Times New Roman"/>
          <w:szCs w:val="20"/>
          <w:lang w:val="en-US"/>
        </w:rPr>
        <w:t xml:space="preserve"> Wnuk</w:t>
      </w:r>
      <w:r w:rsidR="004C5585">
        <w:rPr>
          <w:rFonts w:eastAsia="Times New Roman"/>
          <w:szCs w:val="20"/>
          <w:lang w:val="en-US"/>
        </w:rPr>
        <w:t xml:space="preserve"> (see </w:t>
      </w:r>
      <w:r w:rsidR="007F66D7">
        <w:rPr>
          <w:rFonts w:eastAsia="Times New Roman"/>
          <w:szCs w:val="20"/>
          <w:lang w:val="en-US"/>
        </w:rPr>
        <w:t>footnote 17</w:t>
      </w:r>
      <w:r w:rsidR="004C5585">
        <w:rPr>
          <w:rFonts w:eastAsia="Times New Roman"/>
          <w:szCs w:val="20"/>
          <w:lang w:val="en-US"/>
        </w:rPr>
        <w:t>a)</w:t>
      </w:r>
      <w:r w:rsidR="00D3345D" w:rsidRPr="0059317C">
        <w:rPr>
          <w:rFonts w:eastAsia="Times New Roman"/>
          <w:szCs w:val="20"/>
          <w:lang w:val="en-US"/>
        </w:rPr>
        <w:t>,</w:t>
      </w:r>
      <w:r w:rsidR="00D3345D">
        <w:rPr>
          <w:rFonts w:eastAsia="Times New Roman"/>
          <w:szCs w:val="20"/>
          <w:vertAlign w:val="superscript"/>
          <w:lang w:val="en-US"/>
        </w:rPr>
        <w:t xml:space="preserve"> </w:t>
      </w:r>
      <w:r w:rsidR="00C149D8">
        <w:rPr>
          <w:rFonts w:eastAsia="Times New Roman"/>
          <w:szCs w:val="20"/>
          <w:lang w:val="en-US"/>
        </w:rPr>
        <w:t>nearly 40</w:t>
      </w:r>
      <w:r w:rsidR="00C149D8" w:rsidRPr="0059317C">
        <w:rPr>
          <w:rFonts w:eastAsia="Times New Roman"/>
          <w:szCs w:val="20"/>
          <w:lang w:val="en-US"/>
        </w:rPr>
        <w:t xml:space="preserve"> </w:t>
      </w:r>
      <w:r w:rsidR="00153F1D" w:rsidRPr="0059317C">
        <w:rPr>
          <w:rFonts w:eastAsia="Times New Roman"/>
          <w:szCs w:val="20"/>
          <w:lang w:val="en-US"/>
        </w:rPr>
        <w:t xml:space="preserve">years ago, demonstrated the advantages of integrating detailed archaeological information with that obtained by the complementary scientific techniques of petrography and NAA.  </w:t>
      </w:r>
      <w:r w:rsidR="007C0E4A" w:rsidRPr="0059317C">
        <w:rPr>
          <w:rFonts w:eastAsia="Times New Roman"/>
          <w:szCs w:val="20"/>
          <w:lang w:val="en-US"/>
        </w:rPr>
        <w:t xml:space="preserve">We collected eight clay samples and six sand/sandstone </w:t>
      </w:r>
      <w:r w:rsidR="00102B7C" w:rsidRPr="0059317C">
        <w:rPr>
          <w:rFonts w:eastAsia="Times New Roman"/>
          <w:szCs w:val="20"/>
          <w:lang w:val="en-US"/>
        </w:rPr>
        <w:t>samples from the valley for comparison to the ancient pottery</w:t>
      </w:r>
      <w:r w:rsidR="007D4FB9" w:rsidRPr="0059317C">
        <w:rPr>
          <w:rFonts w:eastAsia="Times New Roman"/>
          <w:szCs w:val="20"/>
          <w:lang w:val="en-US"/>
        </w:rPr>
        <w:t>, which was dominated by quartz inclusions</w:t>
      </w:r>
      <w:r w:rsidR="00102B7C" w:rsidRPr="0059317C">
        <w:rPr>
          <w:rFonts w:eastAsia="Times New Roman"/>
          <w:szCs w:val="20"/>
          <w:lang w:val="en-US"/>
        </w:rPr>
        <w:t xml:space="preserve">.  </w:t>
      </w:r>
      <w:r w:rsidR="006049C8" w:rsidRPr="0059317C">
        <w:rPr>
          <w:rFonts w:eastAsia="Times New Roman"/>
          <w:szCs w:val="20"/>
          <w:lang w:val="en-US"/>
        </w:rPr>
        <w:t>We employ</w:t>
      </w:r>
      <w:r w:rsidR="00507113" w:rsidRPr="0059317C">
        <w:rPr>
          <w:rFonts w:eastAsia="Times New Roman"/>
          <w:szCs w:val="20"/>
          <w:lang w:val="en-US"/>
        </w:rPr>
        <w:t>e</w:t>
      </w:r>
      <w:r w:rsidR="006049C8" w:rsidRPr="0059317C">
        <w:rPr>
          <w:rFonts w:eastAsia="Times New Roman"/>
          <w:szCs w:val="20"/>
          <w:lang w:val="en-US"/>
        </w:rPr>
        <w:t xml:space="preserve">d random point-counting of inclusions.  </w:t>
      </w:r>
      <w:r w:rsidR="00153F1D" w:rsidRPr="0059317C">
        <w:rPr>
          <w:rFonts w:eastAsia="Times New Roman"/>
          <w:szCs w:val="20"/>
          <w:lang w:val="en-US"/>
        </w:rPr>
        <w:t xml:space="preserve">The statistical </w:t>
      </w:r>
      <w:r w:rsidR="00FF26C8" w:rsidRPr="0059317C">
        <w:rPr>
          <w:rFonts w:eastAsia="Times New Roman"/>
          <w:szCs w:val="20"/>
          <w:lang w:val="en-US"/>
        </w:rPr>
        <w:t>grouping</w:t>
      </w:r>
      <w:r w:rsidR="00153F1D" w:rsidRPr="0059317C">
        <w:rPr>
          <w:rFonts w:eastAsia="Times New Roman"/>
          <w:szCs w:val="20"/>
          <w:lang w:val="en-US"/>
        </w:rPr>
        <w:t xml:space="preserve">s </w:t>
      </w:r>
      <w:r w:rsidR="00FF26C8" w:rsidRPr="0059317C">
        <w:rPr>
          <w:rFonts w:eastAsia="Times New Roman"/>
          <w:szCs w:val="20"/>
          <w:lang w:val="en-US"/>
        </w:rPr>
        <w:t>of</w:t>
      </w:r>
      <w:r w:rsidR="00A80FE4" w:rsidRPr="0059317C">
        <w:rPr>
          <w:rFonts w:eastAsia="Times New Roman"/>
          <w:szCs w:val="20"/>
          <w:lang w:val="en-US"/>
        </w:rPr>
        <w:t xml:space="preserve"> the </w:t>
      </w:r>
      <w:r w:rsidR="006049C8" w:rsidRPr="0059317C">
        <w:rPr>
          <w:rFonts w:eastAsia="Times New Roman"/>
          <w:szCs w:val="20"/>
          <w:lang w:val="en-US"/>
        </w:rPr>
        <w:t xml:space="preserve">fully detailed </w:t>
      </w:r>
      <w:r w:rsidR="00A80FE4" w:rsidRPr="0059317C">
        <w:rPr>
          <w:rFonts w:eastAsia="Times New Roman"/>
          <w:szCs w:val="20"/>
          <w:lang w:val="en-US"/>
        </w:rPr>
        <w:t xml:space="preserve">petrographic characters and features </w:t>
      </w:r>
      <w:r w:rsidR="006049C8" w:rsidRPr="0059317C">
        <w:rPr>
          <w:rFonts w:eastAsia="Times New Roman"/>
          <w:szCs w:val="20"/>
          <w:lang w:val="en-US"/>
        </w:rPr>
        <w:t xml:space="preserve">observed </w:t>
      </w:r>
      <w:r w:rsidR="00A80FE4" w:rsidRPr="0059317C">
        <w:rPr>
          <w:rFonts w:eastAsia="Times New Roman"/>
          <w:szCs w:val="20"/>
          <w:lang w:val="en-US"/>
        </w:rPr>
        <w:t xml:space="preserve">were quite comparable to those obtained </w:t>
      </w:r>
      <w:r w:rsidR="007D4FB9" w:rsidRPr="0059317C">
        <w:rPr>
          <w:rFonts w:eastAsia="Times New Roman"/>
          <w:szCs w:val="20"/>
          <w:lang w:val="en-US"/>
        </w:rPr>
        <w:t>by NAA.  Later</w:t>
      </w:r>
      <w:r w:rsidR="00DE73B4" w:rsidRPr="0059317C">
        <w:rPr>
          <w:rFonts w:eastAsia="Times New Roman"/>
          <w:szCs w:val="20"/>
          <w:lang w:val="en-US"/>
        </w:rPr>
        <w:t xml:space="preserve">, we expanded the study to include a total of 58 pottery samples from </w:t>
      </w:r>
      <w:r w:rsidR="00EA0B8F" w:rsidRPr="0059317C">
        <w:rPr>
          <w:rFonts w:eastAsia="Times New Roman"/>
          <w:szCs w:val="20"/>
          <w:lang w:val="en-US"/>
        </w:rPr>
        <w:t xml:space="preserve">a </w:t>
      </w:r>
      <w:r w:rsidR="00DE73B4" w:rsidRPr="0059317C">
        <w:rPr>
          <w:rFonts w:eastAsia="Times New Roman"/>
          <w:szCs w:val="20"/>
          <w:lang w:val="en-US"/>
        </w:rPr>
        <w:t xml:space="preserve">well-provenienced and </w:t>
      </w:r>
      <w:r w:rsidR="004C5585">
        <w:rPr>
          <w:rFonts w:eastAsia="Times New Roman"/>
          <w:szCs w:val="20"/>
          <w:lang w:val="en-US"/>
        </w:rPr>
        <w:t>well-</w:t>
      </w:r>
      <w:r w:rsidR="00DE73B4" w:rsidRPr="0059317C">
        <w:rPr>
          <w:rFonts w:eastAsia="Times New Roman"/>
          <w:szCs w:val="20"/>
          <w:lang w:val="en-US"/>
        </w:rPr>
        <w:t xml:space="preserve">dated </w:t>
      </w:r>
      <w:r w:rsidR="00EA0B8F" w:rsidRPr="0059317C">
        <w:rPr>
          <w:rFonts w:eastAsia="Times New Roman"/>
          <w:szCs w:val="20"/>
          <w:lang w:val="en-US"/>
        </w:rPr>
        <w:t xml:space="preserve">continuous sequence of LB and early Iron Age </w:t>
      </w:r>
      <w:r w:rsidR="00DE73B4" w:rsidRPr="0059317C">
        <w:rPr>
          <w:rFonts w:eastAsia="Times New Roman"/>
          <w:szCs w:val="20"/>
          <w:lang w:val="en-US"/>
        </w:rPr>
        <w:t>phases</w:t>
      </w:r>
      <w:r w:rsidR="004C5585">
        <w:rPr>
          <w:rFonts w:eastAsia="Times New Roman"/>
          <w:szCs w:val="20"/>
          <w:lang w:val="en-US"/>
        </w:rPr>
        <w:t xml:space="preserve"> (see </w:t>
      </w:r>
      <w:r w:rsidR="007F66D7">
        <w:rPr>
          <w:rFonts w:eastAsia="Times New Roman"/>
          <w:szCs w:val="20"/>
          <w:lang w:val="en-US"/>
        </w:rPr>
        <w:t>footnote 17</w:t>
      </w:r>
      <w:r w:rsidR="004C5585">
        <w:rPr>
          <w:rFonts w:eastAsia="Times New Roman"/>
          <w:szCs w:val="20"/>
          <w:lang w:val="en-US"/>
        </w:rPr>
        <w:t>c)</w:t>
      </w:r>
      <w:r w:rsidR="00EA0B8F" w:rsidRPr="0059317C">
        <w:rPr>
          <w:rFonts w:eastAsia="Times New Roman"/>
          <w:szCs w:val="20"/>
          <w:lang w:val="en-US"/>
        </w:rPr>
        <w:t xml:space="preserve">.  The results from the pilot study were confirmed. </w:t>
      </w:r>
      <w:r w:rsidR="00DE73B4" w:rsidRPr="0059317C">
        <w:rPr>
          <w:rFonts w:eastAsia="Times New Roman"/>
          <w:szCs w:val="20"/>
          <w:lang w:val="en-US"/>
        </w:rPr>
        <w:t xml:space="preserve"> </w:t>
      </w:r>
      <w:r w:rsidR="00EA0B8F" w:rsidRPr="0059317C">
        <w:rPr>
          <w:rFonts w:eastAsia="Times New Roman"/>
          <w:szCs w:val="20"/>
          <w:lang w:val="en-US"/>
        </w:rPr>
        <w:t xml:space="preserve">Other scientific techniques, especially xeroradiography, interrelated the materials properties of the pottery fabrics with formation techniques.  For example, as the fabrics became coarser in </w:t>
      </w:r>
      <w:r w:rsidR="00FC29DA" w:rsidRPr="0059317C">
        <w:rPr>
          <w:rFonts w:eastAsia="Times New Roman"/>
          <w:szCs w:val="20"/>
          <w:lang w:val="en-US"/>
        </w:rPr>
        <w:t>LB II, p</w:t>
      </w:r>
      <w:r w:rsidR="006049C8" w:rsidRPr="0059317C">
        <w:rPr>
          <w:rFonts w:eastAsia="Times New Roman"/>
          <w:szCs w:val="20"/>
          <w:lang w:val="en-US"/>
        </w:rPr>
        <w:t>ossibly</w:t>
      </w:r>
      <w:r w:rsidR="00FC29DA" w:rsidRPr="0059317C">
        <w:rPr>
          <w:rFonts w:eastAsia="Times New Roman"/>
          <w:szCs w:val="20"/>
          <w:lang w:val="en-US"/>
        </w:rPr>
        <w:t xml:space="preserve"> because of mass production, hand-made slab bases for bowls and kraters, rather than wheel-thrown bases made in the upside-down mode, became the rule.  This development became even more prominent in Iron IA</w:t>
      </w:r>
      <w:r w:rsidR="000132A5" w:rsidRPr="0059317C">
        <w:rPr>
          <w:rFonts w:eastAsia="Times New Roman"/>
          <w:szCs w:val="20"/>
          <w:lang w:val="en-US"/>
        </w:rPr>
        <w:t xml:space="preserve"> at the same time that a new cultural and technological </w:t>
      </w:r>
      <w:r w:rsidR="00607EF4" w:rsidRPr="0059317C">
        <w:rPr>
          <w:rFonts w:eastAsia="Times New Roman"/>
          <w:szCs w:val="20"/>
          <w:lang w:val="en-US"/>
        </w:rPr>
        <w:t xml:space="preserve">constellation was taking shape </w:t>
      </w:r>
      <w:r w:rsidR="000132A5" w:rsidRPr="0059317C">
        <w:rPr>
          <w:rFonts w:eastAsia="Times New Roman"/>
          <w:szCs w:val="20"/>
          <w:lang w:val="en-US"/>
        </w:rPr>
        <w:t>(the results</w:t>
      </w:r>
      <w:r w:rsidR="00607EF4" w:rsidRPr="0059317C">
        <w:rPr>
          <w:rFonts w:eastAsia="Times New Roman"/>
          <w:szCs w:val="20"/>
          <w:lang w:val="en-US"/>
        </w:rPr>
        <w:t xml:space="preserve"> and working hypotheses</w:t>
      </w:r>
      <w:r w:rsidR="000132A5" w:rsidRPr="0059317C">
        <w:rPr>
          <w:rFonts w:eastAsia="Times New Roman"/>
          <w:szCs w:val="20"/>
          <w:lang w:val="en-US"/>
        </w:rPr>
        <w:t xml:space="preserve"> are summarized in reference e of </w:t>
      </w:r>
      <w:r w:rsidR="007F66D7">
        <w:rPr>
          <w:rFonts w:eastAsia="Times New Roman"/>
          <w:szCs w:val="20"/>
          <w:lang w:val="en-US"/>
        </w:rPr>
        <w:t>footnote 17</w:t>
      </w:r>
      <w:r w:rsidR="00FC29DA" w:rsidRPr="0059317C">
        <w:rPr>
          <w:rFonts w:eastAsia="Times New Roman"/>
          <w:szCs w:val="20"/>
          <w:lang w:val="en-US"/>
        </w:rPr>
        <w:t xml:space="preserve">. </w:t>
      </w:r>
    </w:p>
    <w:p w14:paraId="78DCFEDA" w14:textId="77777777" w:rsidR="005A4659" w:rsidRPr="0059317C" w:rsidRDefault="005A4659" w:rsidP="005A4659">
      <w:pPr>
        <w:widowControl w:val="0"/>
        <w:autoSpaceDE w:val="0"/>
        <w:autoSpaceDN w:val="0"/>
        <w:adjustRightInd w:val="0"/>
        <w:spacing w:after="0" w:line="240" w:lineRule="auto"/>
        <w:rPr>
          <w:rFonts w:eastAsia="Times New Roman"/>
          <w:szCs w:val="20"/>
          <w:lang w:val="en-US"/>
        </w:rPr>
      </w:pPr>
    </w:p>
    <w:p w14:paraId="5129D958" w14:textId="6A3D2793" w:rsidR="00607EF4" w:rsidRPr="0059317C" w:rsidRDefault="00176A43" w:rsidP="00607EF4">
      <w:pPr>
        <w:widowControl w:val="0"/>
        <w:autoSpaceDE w:val="0"/>
        <w:autoSpaceDN w:val="0"/>
        <w:adjustRightInd w:val="0"/>
        <w:spacing w:after="0" w:line="240" w:lineRule="auto"/>
        <w:rPr>
          <w:rFonts w:eastAsia="Times New Roman"/>
          <w:szCs w:val="20"/>
          <w:lang w:val="en-US"/>
        </w:rPr>
      </w:pPr>
      <w:r w:rsidRPr="0059317C">
        <w:rPr>
          <w:rFonts w:eastAsia="Times New Roman"/>
          <w:szCs w:val="20"/>
          <w:lang w:val="en-US"/>
        </w:rPr>
        <w:t>By stressing the advantages of NAA for provenancing the clay origins of Levantine pottery</w:t>
      </w:r>
      <w:r w:rsidR="003B2018" w:rsidRPr="0059317C">
        <w:rPr>
          <w:rFonts w:eastAsia="Times New Roman"/>
          <w:szCs w:val="20"/>
          <w:lang w:val="en-US"/>
        </w:rPr>
        <w:t xml:space="preserve"> over that </w:t>
      </w:r>
      <w:r w:rsidR="00BB07DA" w:rsidRPr="0059317C">
        <w:rPr>
          <w:rFonts w:eastAsia="Times New Roman"/>
          <w:szCs w:val="20"/>
          <w:lang w:val="en-US"/>
        </w:rPr>
        <w:t>of petrography</w:t>
      </w:r>
      <w:r w:rsidRPr="0059317C">
        <w:rPr>
          <w:rFonts w:eastAsia="Times New Roman"/>
          <w:szCs w:val="20"/>
          <w:lang w:val="en-US"/>
        </w:rPr>
        <w:t>,</w:t>
      </w:r>
      <w:r w:rsidR="00BB07DA" w:rsidRPr="0059317C">
        <w:rPr>
          <w:rFonts w:eastAsia="Times New Roman"/>
          <w:szCs w:val="20"/>
          <w:lang w:val="en-US"/>
        </w:rPr>
        <w:t xml:space="preserve"> I have no intention of depreciating the value of the latter.  </w:t>
      </w:r>
      <w:r w:rsidR="00607EF4" w:rsidRPr="0059317C">
        <w:rPr>
          <w:rFonts w:eastAsia="Times New Roman"/>
          <w:szCs w:val="20"/>
          <w:lang w:val="en-US"/>
        </w:rPr>
        <w:t xml:space="preserve">Petrography, properly practiced and applied, </w:t>
      </w:r>
      <w:r w:rsidR="00BB07DA" w:rsidRPr="0059317C">
        <w:rPr>
          <w:rFonts w:eastAsia="Times New Roman"/>
          <w:szCs w:val="20"/>
          <w:lang w:val="en-US"/>
        </w:rPr>
        <w:t xml:space="preserve">is essential to evaluating the NAA results and supplying </w:t>
      </w:r>
      <w:r w:rsidR="004D5E00" w:rsidRPr="0059317C">
        <w:rPr>
          <w:rFonts w:eastAsia="Times New Roman"/>
          <w:szCs w:val="20"/>
          <w:lang w:val="en-US"/>
        </w:rPr>
        <w:t>essential technological information, which NAA cannot provide.  Petrography</w:t>
      </w:r>
      <w:r w:rsidR="00607EF4" w:rsidRPr="0059317C">
        <w:rPr>
          <w:rFonts w:eastAsia="Times New Roman"/>
          <w:szCs w:val="20"/>
          <w:lang w:val="en-US"/>
        </w:rPr>
        <w:t xml:space="preserve"> was a critical component of our ceramic technology program, which combined a coordinated series of scientific approaches to elucidate the technological, environmental, and cultural underpinnings of pottery manufacture (see, especially, the flow diagram in reference e </w:t>
      </w:r>
      <w:r w:rsidR="00131F52" w:rsidRPr="0059317C">
        <w:rPr>
          <w:rFonts w:eastAsia="Times New Roman"/>
          <w:szCs w:val="20"/>
          <w:lang w:val="en-US"/>
        </w:rPr>
        <w:t>of</w:t>
      </w:r>
      <w:r w:rsidR="00607EF4" w:rsidRPr="0059317C">
        <w:rPr>
          <w:rFonts w:eastAsia="Times New Roman"/>
          <w:szCs w:val="20"/>
          <w:lang w:val="en-US"/>
        </w:rPr>
        <w:t xml:space="preserve"> </w:t>
      </w:r>
      <w:r w:rsidR="007F66D7">
        <w:rPr>
          <w:rFonts w:eastAsia="Times New Roman"/>
          <w:szCs w:val="20"/>
          <w:lang w:val="en-US"/>
        </w:rPr>
        <w:t>footnote 17</w:t>
      </w:r>
      <w:r w:rsidR="00607EF4" w:rsidRPr="0059317C">
        <w:rPr>
          <w:rFonts w:eastAsia="Times New Roman"/>
          <w:szCs w:val="20"/>
          <w:lang w:val="en-US"/>
        </w:rPr>
        <w:t>).  For example, xeroradiography sheds light on formation processes--whether by hand, slab/coils or wheel--and sequential firing of briquettes made from local clays and minerals, coupled with scanning electron microscopy to observe vitrification of clay particles and other changes in the pottery fabric, enabled the original firing temperature of the ancient pottery to be determined.  Petrography was integral at every stage of</w:t>
      </w:r>
      <w:r w:rsidR="00607EF4" w:rsidRPr="0059317C">
        <w:rPr>
          <w:rFonts w:eastAsia="Times New Roman"/>
          <w:szCs w:val="20"/>
          <w:lang w:val="en-US"/>
        </w:rPr>
        <w:softHyphen/>
        <w:t xml:space="preserve"> the investigation in providing evidence of the workability of the clay for a given production method, recording mineralogical changes with increased firing temperatures, establishing preliminary fabric types for the archaeological corpus, and more. This holistic approach to ancient pottery technology, in conjunction with other archaeological, textual and environmental data, enabled us to propose novel working hypotheses for further study</w:t>
      </w:r>
      <w:r w:rsidR="004D5E00" w:rsidRPr="0059317C">
        <w:rPr>
          <w:rFonts w:eastAsia="Times New Roman"/>
          <w:szCs w:val="20"/>
          <w:lang w:val="en-US"/>
        </w:rPr>
        <w:t>.  I’ve already mentioned the</w:t>
      </w:r>
      <w:r w:rsidR="00607EF4" w:rsidRPr="0059317C">
        <w:rPr>
          <w:rFonts w:eastAsia="Times New Roman"/>
          <w:szCs w:val="20"/>
          <w:lang w:val="en-US"/>
        </w:rPr>
        <w:t xml:space="preserve"> dramatic cultural and technological changes on the </w:t>
      </w:r>
      <w:r w:rsidR="004D5E00" w:rsidRPr="0059317C">
        <w:rPr>
          <w:rFonts w:eastAsia="Times New Roman"/>
          <w:szCs w:val="20"/>
          <w:lang w:val="en-US"/>
        </w:rPr>
        <w:t xml:space="preserve">central </w:t>
      </w:r>
      <w:r w:rsidR="00607EF4" w:rsidRPr="0059317C">
        <w:rPr>
          <w:rFonts w:eastAsia="Times New Roman"/>
          <w:szCs w:val="20"/>
          <w:lang w:val="en-US"/>
        </w:rPr>
        <w:t>Transjordanian plateau during the 500-year transition from the LBA to the early Iron Age</w:t>
      </w:r>
      <w:r w:rsidR="004D5E00" w:rsidRPr="0059317C">
        <w:rPr>
          <w:rFonts w:eastAsia="Times New Roman"/>
          <w:szCs w:val="20"/>
          <w:lang w:val="en-US"/>
        </w:rPr>
        <w:t xml:space="preserve">.  </w:t>
      </w:r>
      <w:r w:rsidR="00131F52" w:rsidRPr="0059317C">
        <w:rPr>
          <w:rFonts w:eastAsia="Times New Roman"/>
          <w:szCs w:val="20"/>
          <w:lang w:val="en-US"/>
        </w:rPr>
        <w:t>Those developments</w:t>
      </w:r>
      <w:r w:rsidR="00607EF4" w:rsidRPr="0059317C">
        <w:rPr>
          <w:rFonts w:eastAsia="Times New Roman"/>
          <w:szCs w:val="20"/>
          <w:lang w:val="en-US"/>
        </w:rPr>
        <w:t xml:space="preserve"> contrasted </w:t>
      </w:r>
      <w:r w:rsidR="00131F52" w:rsidRPr="0059317C">
        <w:rPr>
          <w:rFonts w:eastAsia="Times New Roman"/>
          <w:szCs w:val="20"/>
          <w:lang w:val="en-US"/>
        </w:rPr>
        <w:t xml:space="preserve">sharply </w:t>
      </w:r>
      <w:r w:rsidR="00607EF4" w:rsidRPr="0059317C">
        <w:rPr>
          <w:rFonts w:eastAsia="Times New Roman"/>
          <w:szCs w:val="20"/>
          <w:lang w:val="en-US"/>
        </w:rPr>
        <w:t>with a continuity of traditions on Thailand’s Khorat Plateau from the 3</w:t>
      </w:r>
      <w:r w:rsidR="00607EF4" w:rsidRPr="0059317C">
        <w:rPr>
          <w:rFonts w:eastAsia="Times New Roman"/>
          <w:szCs w:val="20"/>
          <w:vertAlign w:val="superscript"/>
          <w:lang w:val="en-US"/>
        </w:rPr>
        <w:t>rd</w:t>
      </w:r>
      <w:r w:rsidR="00607EF4" w:rsidRPr="0059317C">
        <w:rPr>
          <w:rFonts w:eastAsia="Times New Roman"/>
          <w:szCs w:val="20"/>
          <w:lang w:val="en-US"/>
        </w:rPr>
        <w:t xml:space="preserve"> to the 1</w:t>
      </w:r>
      <w:r w:rsidR="00607EF4" w:rsidRPr="0059317C">
        <w:rPr>
          <w:rFonts w:eastAsia="Times New Roman"/>
          <w:szCs w:val="20"/>
          <w:vertAlign w:val="superscript"/>
          <w:lang w:val="en-US"/>
        </w:rPr>
        <w:t>st</w:t>
      </w:r>
      <w:r w:rsidR="00607EF4" w:rsidRPr="0059317C">
        <w:rPr>
          <w:rFonts w:eastAsia="Times New Roman"/>
          <w:szCs w:val="20"/>
          <w:lang w:val="en-US"/>
        </w:rPr>
        <w:t xml:space="preserve"> millennium B.C.</w:t>
      </w:r>
      <w:r w:rsidR="00AA43AF">
        <w:rPr>
          <w:rFonts w:eastAsia="Times New Roman"/>
          <w:szCs w:val="20"/>
          <w:lang w:val="en-US"/>
        </w:rPr>
        <w:t xml:space="preserve"> </w:t>
      </w:r>
      <w:r w:rsidR="005B48DE">
        <w:rPr>
          <w:rFonts w:eastAsia="Times New Roman"/>
          <w:szCs w:val="20"/>
          <w:lang w:val="en-US"/>
        </w:rPr>
        <w:t xml:space="preserve">(see </w:t>
      </w:r>
      <w:r w:rsidR="007F66D7">
        <w:rPr>
          <w:rFonts w:eastAsia="Times New Roman"/>
          <w:szCs w:val="20"/>
          <w:lang w:val="en-US"/>
        </w:rPr>
        <w:t>footnote 17</w:t>
      </w:r>
      <w:r w:rsidR="005B48DE">
        <w:rPr>
          <w:rFonts w:eastAsia="Times New Roman"/>
          <w:szCs w:val="20"/>
          <w:lang w:val="en-US"/>
        </w:rPr>
        <w:t>e).</w:t>
      </w:r>
      <w:r w:rsidR="00131F52" w:rsidRPr="0059317C">
        <w:rPr>
          <w:rFonts w:eastAsia="Times New Roman"/>
          <w:szCs w:val="20"/>
          <w:lang w:val="en-US"/>
        </w:rPr>
        <w:t xml:space="preserve"> </w:t>
      </w:r>
    </w:p>
    <w:p w14:paraId="4D83F164" w14:textId="77777777" w:rsidR="00131F52" w:rsidRPr="0059317C" w:rsidRDefault="00131F52" w:rsidP="005A4659">
      <w:pPr>
        <w:widowControl w:val="0"/>
        <w:autoSpaceDE w:val="0"/>
        <w:autoSpaceDN w:val="0"/>
        <w:adjustRightInd w:val="0"/>
        <w:spacing w:after="0" w:line="240" w:lineRule="auto"/>
        <w:rPr>
          <w:rFonts w:eastAsia="Times New Roman"/>
          <w:szCs w:val="20"/>
          <w:lang w:val="en-US"/>
        </w:rPr>
      </w:pPr>
    </w:p>
    <w:p w14:paraId="59D05CCC" w14:textId="0F528726" w:rsidR="00821A1D" w:rsidRPr="0059317C" w:rsidRDefault="00821A1D" w:rsidP="005A4659">
      <w:pPr>
        <w:widowControl w:val="0"/>
        <w:autoSpaceDE w:val="0"/>
        <w:autoSpaceDN w:val="0"/>
        <w:adjustRightInd w:val="0"/>
        <w:spacing w:after="0" w:line="240" w:lineRule="auto"/>
        <w:rPr>
          <w:rFonts w:eastAsia="Times New Roman"/>
          <w:szCs w:val="20"/>
          <w:lang w:val="en-US"/>
        </w:rPr>
      </w:pPr>
      <w:r w:rsidRPr="0059317C">
        <w:rPr>
          <w:rFonts w:eastAsia="Times New Roman"/>
          <w:szCs w:val="20"/>
          <w:lang w:val="en-US"/>
        </w:rPr>
        <w:t xml:space="preserve">Ideally, the goal of a pottery provenance study is to determine the source of the ancient clay from which the pottery was made.  </w:t>
      </w:r>
      <w:r w:rsidR="00CD27A1" w:rsidRPr="0059317C">
        <w:rPr>
          <w:rFonts w:eastAsia="Times New Roman"/>
          <w:szCs w:val="20"/>
          <w:lang w:val="en-US"/>
        </w:rPr>
        <w:t xml:space="preserve">Yet, </w:t>
      </w:r>
      <w:r w:rsidR="0006459A" w:rsidRPr="0059317C">
        <w:rPr>
          <w:rFonts w:eastAsia="Times New Roman"/>
          <w:szCs w:val="20"/>
          <w:lang w:val="en-US"/>
        </w:rPr>
        <w:t xml:space="preserve">petrography cannot characterize and localize the clay per se </w:t>
      </w:r>
      <w:r w:rsidR="00CD27A1" w:rsidRPr="0059317C">
        <w:rPr>
          <w:rFonts w:eastAsia="Times New Roman"/>
          <w:szCs w:val="20"/>
          <w:lang w:val="en-US"/>
        </w:rPr>
        <w:t>d</w:t>
      </w:r>
      <w:r w:rsidRPr="0059317C">
        <w:rPr>
          <w:rFonts w:eastAsia="Times New Roman"/>
          <w:szCs w:val="20"/>
          <w:lang w:val="en-US"/>
        </w:rPr>
        <w:t xml:space="preserve">espite </w:t>
      </w:r>
      <w:r w:rsidR="0009124F" w:rsidRPr="0059317C">
        <w:rPr>
          <w:rFonts w:eastAsia="Times New Roman"/>
          <w:szCs w:val="20"/>
          <w:lang w:val="en-US"/>
        </w:rPr>
        <w:t xml:space="preserve">this possibility and </w:t>
      </w:r>
      <w:r w:rsidRPr="0059317C">
        <w:rPr>
          <w:rFonts w:eastAsia="Times New Roman"/>
          <w:szCs w:val="20"/>
          <w:lang w:val="en-US"/>
        </w:rPr>
        <w:t>all its other advantages for understanding ancient pottery</w:t>
      </w:r>
      <w:r w:rsidR="00F4608E" w:rsidRPr="0059317C">
        <w:rPr>
          <w:rFonts w:eastAsia="Times New Roman"/>
          <w:szCs w:val="20"/>
          <w:lang w:val="en-US"/>
        </w:rPr>
        <w:t xml:space="preserve"> technology</w:t>
      </w:r>
      <w:r w:rsidR="00CD27A1" w:rsidRPr="0059317C">
        <w:rPr>
          <w:rFonts w:eastAsia="Times New Roman"/>
          <w:szCs w:val="20"/>
          <w:lang w:val="en-US"/>
        </w:rPr>
        <w:t>.  For that, a highly sensitive and precis</w:t>
      </w:r>
      <w:r w:rsidR="00F4608E" w:rsidRPr="0059317C">
        <w:rPr>
          <w:rFonts w:eastAsia="Times New Roman"/>
          <w:szCs w:val="20"/>
          <w:lang w:val="en-US"/>
        </w:rPr>
        <w:t>e</w:t>
      </w:r>
      <w:r w:rsidR="00CD27A1" w:rsidRPr="0059317C">
        <w:rPr>
          <w:rFonts w:eastAsia="Times New Roman"/>
          <w:szCs w:val="20"/>
          <w:lang w:val="en-US"/>
        </w:rPr>
        <w:t xml:space="preserve"> chemical technique like NAA is </w:t>
      </w:r>
      <w:r w:rsidR="00D33716" w:rsidRPr="0059317C">
        <w:rPr>
          <w:rFonts w:eastAsia="Times New Roman"/>
          <w:szCs w:val="20"/>
          <w:lang w:val="en-US"/>
        </w:rPr>
        <w:t xml:space="preserve">usually </w:t>
      </w:r>
      <w:r w:rsidR="00CD27A1" w:rsidRPr="0059317C">
        <w:rPr>
          <w:rFonts w:eastAsia="Times New Roman"/>
          <w:szCs w:val="20"/>
          <w:lang w:val="en-US"/>
        </w:rPr>
        <w:t>needed</w:t>
      </w:r>
      <w:r w:rsidR="00F4608E" w:rsidRPr="0059317C">
        <w:rPr>
          <w:rFonts w:eastAsia="Times New Roman"/>
          <w:szCs w:val="20"/>
          <w:lang w:val="en-US"/>
        </w:rPr>
        <w:t>, “tempered” as it were by petrographic analyses</w:t>
      </w:r>
      <w:r w:rsidR="00CD27A1" w:rsidRPr="0059317C">
        <w:rPr>
          <w:rFonts w:eastAsia="Times New Roman"/>
          <w:szCs w:val="20"/>
          <w:lang w:val="en-US"/>
        </w:rPr>
        <w:t>.</w:t>
      </w:r>
      <w:r w:rsidR="00F4608E" w:rsidRPr="0059317C">
        <w:rPr>
          <w:rFonts w:eastAsia="Times New Roman"/>
          <w:szCs w:val="20"/>
          <w:lang w:val="en-US"/>
        </w:rPr>
        <w:t xml:space="preserve">  </w:t>
      </w:r>
      <w:r w:rsidR="0092025E" w:rsidRPr="0059317C">
        <w:rPr>
          <w:rFonts w:eastAsia="Times New Roman"/>
          <w:szCs w:val="20"/>
          <w:lang w:val="en-US"/>
        </w:rPr>
        <w:t xml:space="preserve">The NAA elemental results can be skewed by the washing out of native inclusions or the addition of foreign inclusions from a non-local, more distant mineralogical deposit by natural </w:t>
      </w:r>
      <w:r w:rsidR="00D11175" w:rsidRPr="0059317C">
        <w:rPr>
          <w:rFonts w:eastAsia="Times New Roman"/>
          <w:szCs w:val="20"/>
          <w:lang w:val="en-US"/>
        </w:rPr>
        <w:t xml:space="preserve">geological </w:t>
      </w:r>
      <w:r w:rsidR="0092025E" w:rsidRPr="0059317C">
        <w:rPr>
          <w:rFonts w:eastAsia="Times New Roman"/>
          <w:szCs w:val="20"/>
          <w:lang w:val="en-US"/>
        </w:rPr>
        <w:t>processes</w:t>
      </w:r>
      <w:r w:rsidR="00D11175" w:rsidRPr="0059317C">
        <w:rPr>
          <w:rFonts w:eastAsia="Times New Roman"/>
          <w:szCs w:val="20"/>
          <w:lang w:val="en-US"/>
        </w:rPr>
        <w:t xml:space="preserve">, such as erosion, </w:t>
      </w:r>
      <w:r w:rsidR="00EB6A83" w:rsidRPr="0059317C">
        <w:rPr>
          <w:rFonts w:eastAsia="Times New Roman"/>
          <w:szCs w:val="20"/>
          <w:lang w:val="en-US"/>
        </w:rPr>
        <w:t>which can</w:t>
      </w:r>
      <w:r w:rsidR="00D11175" w:rsidRPr="0059317C">
        <w:rPr>
          <w:rFonts w:eastAsia="Times New Roman"/>
          <w:szCs w:val="20"/>
          <w:lang w:val="en-US"/>
        </w:rPr>
        <w:t xml:space="preserve"> </w:t>
      </w:r>
      <w:r w:rsidR="00EB6A83" w:rsidRPr="0059317C">
        <w:rPr>
          <w:rFonts w:eastAsia="Times New Roman"/>
          <w:szCs w:val="20"/>
          <w:lang w:val="en-US"/>
        </w:rPr>
        <w:t xml:space="preserve">produce </w:t>
      </w:r>
      <w:r w:rsidR="00D11175" w:rsidRPr="0059317C">
        <w:rPr>
          <w:rFonts w:eastAsia="Times New Roman"/>
          <w:szCs w:val="20"/>
          <w:lang w:val="en-US"/>
        </w:rPr>
        <w:t xml:space="preserve">highly selective </w:t>
      </w:r>
      <w:r w:rsidR="00EB6A83" w:rsidRPr="0059317C">
        <w:rPr>
          <w:rFonts w:eastAsia="Times New Roman"/>
          <w:szCs w:val="20"/>
          <w:lang w:val="en-US"/>
        </w:rPr>
        <w:t xml:space="preserve">dilution or concentration effects </w:t>
      </w:r>
      <w:r w:rsidR="008117F7" w:rsidRPr="0059317C">
        <w:rPr>
          <w:rFonts w:eastAsia="Times New Roman"/>
          <w:szCs w:val="20"/>
          <w:lang w:val="en-US"/>
        </w:rPr>
        <w:t>for the native clay</w:t>
      </w:r>
      <w:r w:rsidR="0092025E" w:rsidRPr="0059317C">
        <w:rPr>
          <w:rFonts w:eastAsia="Times New Roman"/>
          <w:szCs w:val="20"/>
          <w:lang w:val="en-US"/>
        </w:rPr>
        <w:t>.</w:t>
      </w:r>
      <w:r w:rsidR="00D11175" w:rsidRPr="0059317C">
        <w:rPr>
          <w:rFonts w:eastAsia="Times New Roman"/>
          <w:szCs w:val="20"/>
          <w:lang w:val="en-US"/>
        </w:rPr>
        <w:t xml:space="preserve">  Inclusions might also </w:t>
      </w:r>
      <w:r w:rsidR="00907F4E" w:rsidRPr="0059317C">
        <w:rPr>
          <w:rFonts w:eastAsia="Times New Roman"/>
          <w:szCs w:val="20"/>
          <w:lang w:val="en-US"/>
        </w:rPr>
        <w:t xml:space="preserve">have been </w:t>
      </w:r>
      <w:r w:rsidR="00D11175" w:rsidRPr="0059317C">
        <w:rPr>
          <w:rFonts w:eastAsia="Times New Roman"/>
          <w:szCs w:val="20"/>
          <w:lang w:val="en-US"/>
        </w:rPr>
        <w:t xml:space="preserve">intentionally mixed with the </w:t>
      </w:r>
      <w:r w:rsidR="00D11175" w:rsidRPr="0059317C">
        <w:rPr>
          <w:rFonts w:eastAsia="Times New Roman"/>
          <w:szCs w:val="20"/>
          <w:lang w:val="en-US"/>
        </w:rPr>
        <w:lastRenderedPageBreak/>
        <w:t>clay</w:t>
      </w:r>
      <w:r w:rsidR="00907F4E" w:rsidRPr="0059317C">
        <w:rPr>
          <w:rFonts w:eastAsia="Times New Roman"/>
          <w:szCs w:val="20"/>
          <w:lang w:val="en-US"/>
        </w:rPr>
        <w:t xml:space="preserve">, </w:t>
      </w:r>
      <w:r w:rsidR="00D11175" w:rsidRPr="0059317C">
        <w:rPr>
          <w:rFonts w:eastAsia="Times New Roman"/>
          <w:szCs w:val="20"/>
          <w:lang w:val="en-US"/>
        </w:rPr>
        <w:t>as tempering agents</w:t>
      </w:r>
      <w:r w:rsidR="00907F4E" w:rsidRPr="0059317C">
        <w:rPr>
          <w:rFonts w:eastAsia="Times New Roman"/>
          <w:szCs w:val="20"/>
          <w:lang w:val="en-US"/>
        </w:rPr>
        <w:t>,</w:t>
      </w:r>
      <w:r w:rsidR="00D11175" w:rsidRPr="0059317C">
        <w:rPr>
          <w:rFonts w:eastAsia="Times New Roman"/>
          <w:szCs w:val="20"/>
          <w:lang w:val="en-US"/>
        </w:rPr>
        <w:t xml:space="preserve"> by the ancient potter, to produce a more workable clay or better-firing product.  Petrography, </w:t>
      </w:r>
      <w:r w:rsidR="00907F4E" w:rsidRPr="0059317C">
        <w:rPr>
          <w:rFonts w:eastAsia="Times New Roman"/>
          <w:szCs w:val="20"/>
          <w:lang w:val="en-US"/>
        </w:rPr>
        <w:t>by</w:t>
      </w:r>
      <w:r w:rsidR="00D11175" w:rsidRPr="0059317C">
        <w:rPr>
          <w:rFonts w:eastAsia="Times New Roman"/>
          <w:szCs w:val="20"/>
          <w:lang w:val="en-US"/>
        </w:rPr>
        <w:t xml:space="preserve"> compar</w:t>
      </w:r>
      <w:r w:rsidR="00907F4E" w:rsidRPr="0059317C">
        <w:rPr>
          <w:rFonts w:eastAsia="Times New Roman"/>
          <w:szCs w:val="20"/>
          <w:lang w:val="en-US"/>
        </w:rPr>
        <w:t>ing</w:t>
      </w:r>
      <w:r w:rsidR="008117F7" w:rsidRPr="0059317C">
        <w:rPr>
          <w:rFonts w:eastAsia="Times New Roman"/>
          <w:szCs w:val="20"/>
          <w:lang w:val="en-US"/>
        </w:rPr>
        <w:t xml:space="preserve"> thin-sections of</w:t>
      </w:r>
      <w:r w:rsidR="00D11175" w:rsidRPr="0059317C">
        <w:rPr>
          <w:rFonts w:eastAsia="Times New Roman"/>
          <w:szCs w:val="20"/>
          <w:lang w:val="en-US"/>
        </w:rPr>
        <w:t xml:space="preserve"> </w:t>
      </w:r>
      <w:r w:rsidR="00907F4E" w:rsidRPr="0059317C">
        <w:rPr>
          <w:rFonts w:eastAsia="Times New Roman"/>
          <w:szCs w:val="20"/>
          <w:lang w:val="en-US"/>
        </w:rPr>
        <w:t>fired clay briquettes of</w:t>
      </w:r>
      <w:r w:rsidR="00D11175" w:rsidRPr="0059317C">
        <w:rPr>
          <w:rFonts w:eastAsia="Times New Roman"/>
          <w:szCs w:val="20"/>
          <w:lang w:val="en-US"/>
        </w:rPr>
        <w:t xml:space="preserve"> local clay and minerals</w:t>
      </w:r>
      <w:r w:rsidR="008117F7" w:rsidRPr="0059317C">
        <w:rPr>
          <w:rFonts w:eastAsia="Times New Roman"/>
          <w:szCs w:val="20"/>
          <w:lang w:val="en-US"/>
        </w:rPr>
        <w:t xml:space="preserve"> with </w:t>
      </w:r>
      <w:r w:rsidR="0009124F" w:rsidRPr="0059317C">
        <w:rPr>
          <w:rFonts w:eastAsia="Times New Roman"/>
          <w:szCs w:val="20"/>
          <w:lang w:val="en-US"/>
        </w:rPr>
        <w:t xml:space="preserve">those of </w:t>
      </w:r>
      <w:r w:rsidR="008117F7" w:rsidRPr="0059317C">
        <w:rPr>
          <w:rFonts w:eastAsia="Times New Roman"/>
          <w:szCs w:val="20"/>
          <w:lang w:val="en-US"/>
        </w:rPr>
        <w:t>the ancient pottery</w:t>
      </w:r>
      <w:r w:rsidR="00D11175" w:rsidRPr="0059317C">
        <w:rPr>
          <w:rFonts w:eastAsia="Times New Roman"/>
          <w:szCs w:val="20"/>
          <w:lang w:val="en-US"/>
        </w:rPr>
        <w:t>, provide</w:t>
      </w:r>
      <w:r w:rsidR="00907F4E" w:rsidRPr="0059317C">
        <w:rPr>
          <w:rFonts w:eastAsia="Times New Roman"/>
          <w:szCs w:val="20"/>
          <w:lang w:val="en-US"/>
        </w:rPr>
        <w:t>s</w:t>
      </w:r>
      <w:r w:rsidR="00D11175" w:rsidRPr="0059317C">
        <w:rPr>
          <w:rFonts w:eastAsia="Times New Roman"/>
          <w:szCs w:val="20"/>
          <w:lang w:val="en-US"/>
        </w:rPr>
        <w:t xml:space="preserve"> </w:t>
      </w:r>
      <w:r w:rsidR="00907F4E" w:rsidRPr="0059317C">
        <w:rPr>
          <w:rFonts w:eastAsia="Times New Roman"/>
          <w:szCs w:val="20"/>
          <w:lang w:val="en-US"/>
        </w:rPr>
        <w:t>the all-important</w:t>
      </w:r>
      <w:r w:rsidR="00D11175" w:rsidRPr="0059317C">
        <w:rPr>
          <w:rFonts w:eastAsia="Times New Roman"/>
          <w:szCs w:val="20"/>
          <w:lang w:val="en-US"/>
        </w:rPr>
        <w:t xml:space="preserve"> check on </w:t>
      </w:r>
      <w:r w:rsidR="00D33716" w:rsidRPr="0059317C">
        <w:rPr>
          <w:rFonts w:eastAsia="Times New Roman"/>
          <w:szCs w:val="20"/>
          <w:lang w:val="en-US"/>
        </w:rPr>
        <w:t>such</w:t>
      </w:r>
      <w:r w:rsidR="00907F4E" w:rsidRPr="0059317C">
        <w:rPr>
          <w:rFonts w:eastAsia="Times New Roman"/>
          <w:szCs w:val="20"/>
          <w:lang w:val="en-US"/>
        </w:rPr>
        <w:t xml:space="preserve"> variables.</w:t>
      </w:r>
      <w:r w:rsidR="00D33716" w:rsidRPr="0059317C">
        <w:rPr>
          <w:rFonts w:eastAsia="Times New Roman"/>
          <w:szCs w:val="20"/>
          <w:lang w:val="en-US"/>
        </w:rPr>
        <w:t xml:space="preserve"> </w:t>
      </w:r>
    </w:p>
    <w:p w14:paraId="2984E54A" w14:textId="77777777" w:rsidR="00821A1D" w:rsidRPr="0059317C" w:rsidRDefault="00821A1D" w:rsidP="005A4659">
      <w:pPr>
        <w:widowControl w:val="0"/>
        <w:autoSpaceDE w:val="0"/>
        <w:autoSpaceDN w:val="0"/>
        <w:adjustRightInd w:val="0"/>
        <w:spacing w:after="0" w:line="240" w:lineRule="auto"/>
        <w:rPr>
          <w:rFonts w:eastAsia="Times New Roman"/>
          <w:szCs w:val="20"/>
          <w:lang w:val="en-US"/>
        </w:rPr>
      </w:pPr>
    </w:p>
    <w:p w14:paraId="6A5CFFED" w14:textId="1FE70E41" w:rsidR="00905FF8" w:rsidRPr="0059317C" w:rsidRDefault="006C26B2" w:rsidP="005A4659">
      <w:pPr>
        <w:widowControl w:val="0"/>
        <w:autoSpaceDE w:val="0"/>
        <w:autoSpaceDN w:val="0"/>
        <w:adjustRightInd w:val="0"/>
        <w:spacing w:after="0" w:line="240" w:lineRule="auto"/>
        <w:rPr>
          <w:rFonts w:eastAsia="Times New Roman"/>
          <w:szCs w:val="20"/>
          <w:lang w:val="en-US"/>
        </w:rPr>
      </w:pPr>
      <w:r w:rsidRPr="0059317C">
        <w:rPr>
          <w:rFonts w:eastAsia="Times New Roman"/>
          <w:szCs w:val="20"/>
          <w:lang w:val="en-US"/>
        </w:rPr>
        <w:t xml:space="preserve">Even at one remove from the clay bed itself, however, petrography can sometimes work better than NAA </w:t>
      </w:r>
      <w:r w:rsidR="00131F52" w:rsidRPr="0059317C">
        <w:rPr>
          <w:rFonts w:eastAsia="Times New Roman"/>
          <w:szCs w:val="20"/>
          <w:lang w:val="en-US"/>
        </w:rPr>
        <w:t xml:space="preserve">provenancing </w:t>
      </w:r>
      <w:r w:rsidR="00905FF8" w:rsidRPr="0059317C">
        <w:rPr>
          <w:rFonts w:eastAsia="Times New Roman"/>
          <w:szCs w:val="20"/>
          <w:lang w:val="en-US"/>
        </w:rPr>
        <w:t xml:space="preserve">ancient </w:t>
      </w:r>
      <w:r w:rsidR="00131F52" w:rsidRPr="0059317C">
        <w:rPr>
          <w:rFonts w:eastAsia="Times New Roman"/>
          <w:szCs w:val="20"/>
          <w:lang w:val="en-US"/>
        </w:rPr>
        <w:t>pottery</w:t>
      </w:r>
      <w:r w:rsidR="00F52CE6" w:rsidRPr="0059317C">
        <w:rPr>
          <w:rFonts w:eastAsia="Times New Roman"/>
          <w:szCs w:val="20"/>
          <w:lang w:val="en-US"/>
        </w:rPr>
        <w:t xml:space="preserve">.  </w:t>
      </w:r>
      <w:r w:rsidR="001E3BD9" w:rsidRPr="0059317C">
        <w:rPr>
          <w:rFonts w:eastAsia="Times New Roman"/>
          <w:szCs w:val="20"/>
          <w:lang w:val="en-US"/>
        </w:rPr>
        <w:t xml:space="preserve"> </w:t>
      </w:r>
      <w:r w:rsidR="0022111D" w:rsidRPr="0059317C">
        <w:rPr>
          <w:rFonts w:eastAsia="Times New Roman"/>
          <w:szCs w:val="20"/>
          <w:lang w:val="en-US"/>
        </w:rPr>
        <w:t>For example</w:t>
      </w:r>
      <w:r w:rsidRPr="0059317C">
        <w:rPr>
          <w:rFonts w:eastAsia="Times New Roman"/>
          <w:szCs w:val="20"/>
          <w:lang w:val="en-US"/>
        </w:rPr>
        <w:t xml:space="preserve">, when a region has a very distinctive petrology, such as an igneous regime, </w:t>
      </w:r>
      <w:r w:rsidR="0022111D" w:rsidRPr="0059317C">
        <w:rPr>
          <w:rFonts w:eastAsia="Times New Roman"/>
          <w:szCs w:val="20"/>
          <w:lang w:val="en-US"/>
        </w:rPr>
        <w:t xml:space="preserve">the inclusions in the clay </w:t>
      </w:r>
      <w:r w:rsidR="0006459A">
        <w:rPr>
          <w:rFonts w:eastAsia="Times New Roman"/>
          <w:szCs w:val="20"/>
          <w:lang w:val="en-US"/>
        </w:rPr>
        <w:t>might be</w:t>
      </w:r>
      <w:r w:rsidR="0006459A" w:rsidRPr="0059317C">
        <w:rPr>
          <w:rFonts w:eastAsia="Times New Roman"/>
          <w:szCs w:val="20"/>
          <w:lang w:val="en-US"/>
        </w:rPr>
        <w:t xml:space="preserve"> </w:t>
      </w:r>
      <w:r w:rsidR="0022111D" w:rsidRPr="0059317C">
        <w:rPr>
          <w:rFonts w:eastAsia="Times New Roman"/>
          <w:szCs w:val="20"/>
          <w:lang w:val="en-US"/>
        </w:rPr>
        <w:t xml:space="preserve">sufficient to characterize and source the clay bed.  </w:t>
      </w:r>
      <w:r w:rsidR="001E3BD9" w:rsidRPr="0059317C">
        <w:rPr>
          <w:rFonts w:eastAsia="Times New Roman"/>
          <w:szCs w:val="20"/>
          <w:lang w:val="en-US"/>
        </w:rPr>
        <w:t xml:space="preserve">The Levant, however, does not meet </w:t>
      </w:r>
      <w:r w:rsidR="0006459A">
        <w:rPr>
          <w:rFonts w:eastAsia="Times New Roman"/>
          <w:szCs w:val="20"/>
          <w:lang w:val="en-US"/>
        </w:rPr>
        <w:t>that</w:t>
      </w:r>
      <w:r w:rsidR="0006459A" w:rsidRPr="0059317C">
        <w:rPr>
          <w:rFonts w:eastAsia="Times New Roman"/>
          <w:szCs w:val="20"/>
          <w:lang w:val="en-US"/>
        </w:rPr>
        <w:t xml:space="preserve"> </w:t>
      </w:r>
      <w:r w:rsidR="001E3BD9" w:rsidRPr="0059317C">
        <w:rPr>
          <w:rFonts w:eastAsia="Times New Roman"/>
          <w:szCs w:val="20"/>
          <w:lang w:val="en-US"/>
        </w:rPr>
        <w:t>criteri</w:t>
      </w:r>
      <w:r w:rsidR="0006459A">
        <w:rPr>
          <w:rFonts w:eastAsia="Times New Roman"/>
          <w:szCs w:val="20"/>
          <w:lang w:val="en-US"/>
        </w:rPr>
        <w:t>um</w:t>
      </w:r>
      <w:r w:rsidR="001E3BD9" w:rsidRPr="0059317C">
        <w:rPr>
          <w:rFonts w:eastAsia="Times New Roman"/>
          <w:szCs w:val="20"/>
          <w:lang w:val="en-US"/>
        </w:rPr>
        <w:t>, as already explained and further elaborated upon in the Addendum.</w:t>
      </w:r>
    </w:p>
    <w:p w14:paraId="0CD32235" w14:textId="77777777" w:rsidR="00E722AE" w:rsidRPr="0059317C" w:rsidRDefault="00E722AE" w:rsidP="00E722AE">
      <w:pPr>
        <w:widowControl w:val="0"/>
        <w:autoSpaceDE w:val="0"/>
        <w:autoSpaceDN w:val="0"/>
        <w:adjustRightInd w:val="0"/>
        <w:spacing w:after="0" w:line="240" w:lineRule="auto"/>
        <w:rPr>
          <w:rFonts w:eastAsia="Times New Roman"/>
          <w:szCs w:val="20"/>
          <w:lang w:val="en-US"/>
        </w:rPr>
      </w:pPr>
    </w:p>
    <w:p w14:paraId="1AD40F71" w14:textId="48129DA6" w:rsidR="00E722AE" w:rsidRPr="0059317C" w:rsidRDefault="00E722AE" w:rsidP="00E722AE">
      <w:pPr>
        <w:widowControl w:val="0"/>
        <w:autoSpaceDE w:val="0"/>
        <w:autoSpaceDN w:val="0"/>
        <w:adjustRightInd w:val="0"/>
        <w:spacing w:after="0" w:line="240" w:lineRule="auto"/>
        <w:rPr>
          <w:rFonts w:eastAsia="Times New Roman"/>
          <w:szCs w:val="20"/>
          <w:lang w:val="en-US"/>
        </w:rPr>
      </w:pPr>
      <w:r w:rsidRPr="0059317C">
        <w:rPr>
          <w:rFonts w:eastAsia="Times New Roman"/>
          <w:szCs w:val="20"/>
          <w:lang w:val="en-US"/>
        </w:rPr>
        <w:t xml:space="preserve">To determine the origin of </w:t>
      </w:r>
      <w:r w:rsidR="004F5CDA" w:rsidRPr="0059317C">
        <w:rPr>
          <w:rFonts w:eastAsia="Times New Roman"/>
          <w:szCs w:val="20"/>
          <w:lang w:val="en-US"/>
        </w:rPr>
        <w:t>a</w:t>
      </w:r>
      <w:r w:rsidR="0022111D" w:rsidRPr="0059317C">
        <w:rPr>
          <w:rFonts w:eastAsia="Times New Roman"/>
          <w:szCs w:val="20"/>
          <w:lang w:val="en-US"/>
        </w:rPr>
        <w:t xml:space="preserve"> Levantine </w:t>
      </w:r>
      <w:r w:rsidRPr="0059317C">
        <w:rPr>
          <w:rFonts w:eastAsia="Times New Roman"/>
          <w:szCs w:val="20"/>
          <w:lang w:val="en-US"/>
        </w:rPr>
        <w:t xml:space="preserve">clay, which might differ watershed by watershed along the Levantine coast, intensive </w:t>
      </w:r>
      <w:r w:rsidR="004F5CDA" w:rsidRPr="0059317C">
        <w:rPr>
          <w:rFonts w:eastAsia="Times New Roman"/>
          <w:szCs w:val="20"/>
          <w:lang w:val="en-US"/>
        </w:rPr>
        <w:t xml:space="preserve">chemical </w:t>
      </w:r>
      <w:r w:rsidRPr="0059317C">
        <w:rPr>
          <w:rFonts w:eastAsia="Times New Roman"/>
          <w:szCs w:val="20"/>
          <w:lang w:val="en-US"/>
        </w:rPr>
        <w:t>analytical methods, such as NAA, are needed.  As I stated on pp. 70 and 73</w:t>
      </w:r>
      <w:r w:rsidR="002F0B02">
        <w:rPr>
          <w:rFonts w:eastAsia="Times New Roman"/>
          <w:szCs w:val="20"/>
          <w:lang w:val="en-US"/>
        </w:rPr>
        <w:t xml:space="preserve"> of this monograph</w:t>
      </w:r>
      <w:r w:rsidRPr="0059317C">
        <w:rPr>
          <w:rFonts w:eastAsia="Times New Roman"/>
          <w:szCs w:val="20"/>
          <w:lang w:val="en-US"/>
        </w:rPr>
        <w:t xml:space="preserve">: “A gradual increase in transition metals (particularly chromium, manganese, and cobalt), alkalis and alkaline earths, and, to a more limited extent, in the rare earths are observed in the clays and the local compositional groups going from south to north along the Mediterranean coast.  This trend is even more pronounced than it might otherwise seem, since the pottery from northern sites were tempered more heavily with calcite, which has a diluent effect on chemical composition.”  </w:t>
      </w:r>
    </w:p>
    <w:p w14:paraId="546120C4" w14:textId="77777777" w:rsidR="004E333C" w:rsidRPr="0059317C" w:rsidRDefault="004E333C" w:rsidP="004E333C">
      <w:pPr>
        <w:spacing w:after="0"/>
        <w:rPr>
          <w:rFonts w:eastAsia="Times New Roman"/>
          <w:szCs w:val="20"/>
          <w:lang w:val="en-US"/>
        </w:rPr>
      </w:pPr>
    </w:p>
    <w:p w14:paraId="2D32DA51" w14:textId="77777777" w:rsidR="004E333C" w:rsidRPr="0059317C" w:rsidRDefault="004E333C" w:rsidP="004E333C">
      <w:pPr>
        <w:spacing w:after="0"/>
        <w:rPr>
          <w:szCs w:val="20"/>
        </w:rPr>
      </w:pPr>
      <w:r w:rsidRPr="0059317C">
        <w:rPr>
          <w:rFonts w:eastAsia="Times New Roman"/>
          <w:szCs w:val="20"/>
          <w:lang w:val="en-US"/>
        </w:rPr>
        <w:t>It should be noted that, in lieu of petrographic details for most archaeological sites in the Levant, correction for calcium dilution of other elements by various mathematical procedures</w:t>
      </w:r>
      <w:r w:rsidR="00DA5804" w:rsidRPr="0059317C">
        <w:rPr>
          <w:szCs w:val="20"/>
        </w:rPr>
        <w:t>—</w:t>
      </w:r>
      <w:r w:rsidRPr="0059317C">
        <w:rPr>
          <w:szCs w:val="20"/>
        </w:rPr>
        <w:t>viz., best relative fit by least squares</w:t>
      </w:r>
      <w:r w:rsidR="00DA5804" w:rsidRPr="0059317C">
        <w:rPr>
          <w:szCs w:val="20"/>
        </w:rPr>
        <w:t>—</w:t>
      </w:r>
      <w:r w:rsidRPr="0059317C">
        <w:rPr>
          <w:szCs w:val="20"/>
        </w:rPr>
        <w:t xml:space="preserve">did not improve the statistical discrimination of local groups using the uncorrected NAA data.  </w:t>
      </w:r>
      <w:r w:rsidRPr="0059317C">
        <w:rPr>
          <w:rFonts w:eastAsia="Times New Roman"/>
          <w:szCs w:val="20"/>
          <w:lang w:val="en-US"/>
        </w:rPr>
        <w:t>As more petrographic analyses are carried out,</w:t>
      </w:r>
      <w:r w:rsidRPr="0059317C">
        <w:rPr>
          <w:szCs w:val="20"/>
        </w:rPr>
        <w:t xml:space="preserve"> </w:t>
      </w:r>
      <w:r w:rsidRPr="0059317C">
        <w:rPr>
          <w:rFonts w:eastAsia="Times New Roman"/>
          <w:szCs w:val="20"/>
          <w:lang w:val="en-US"/>
        </w:rPr>
        <w:t>it should be possible to identify d</w:t>
      </w:r>
      <w:r w:rsidRPr="0059317C">
        <w:rPr>
          <w:szCs w:val="20"/>
        </w:rPr>
        <w:t>istinctive mineral suites for specific local group samples</w:t>
      </w:r>
      <w:r w:rsidRPr="0059317C">
        <w:rPr>
          <w:rFonts w:eastAsia="Times New Roman"/>
          <w:szCs w:val="20"/>
          <w:lang w:val="en-US"/>
        </w:rPr>
        <w:t xml:space="preserve"> by percentages of inclusions, including </w:t>
      </w:r>
      <w:bookmarkStart w:id="23" w:name="_Hlk3440361"/>
      <w:r w:rsidRPr="0059317C">
        <w:rPr>
          <w:rFonts w:eastAsia="Times New Roman"/>
          <w:szCs w:val="20"/>
          <w:lang w:val="en-US"/>
        </w:rPr>
        <w:t xml:space="preserve">quartz </w:t>
      </w:r>
      <w:bookmarkEnd w:id="23"/>
      <w:r w:rsidRPr="0059317C">
        <w:rPr>
          <w:rFonts w:eastAsia="Times New Roman"/>
          <w:szCs w:val="20"/>
          <w:lang w:val="en-US"/>
        </w:rPr>
        <w:t xml:space="preserve">and related silicate minerals of igneous origin, so as to apply </w:t>
      </w:r>
      <w:r w:rsidRPr="0059317C">
        <w:rPr>
          <w:szCs w:val="20"/>
        </w:rPr>
        <w:t>correction factors.  It is doubtful, however, that these corrections would significantly improve the local group separations of this study.</w:t>
      </w:r>
    </w:p>
    <w:p w14:paraId="12EE2A79" w14:textId="77777777" w:rsidR="004E333C" w:rsidRPr="0059317C" w:rsidRDefault="004E333C" w:rsidP="004E333C">
      <w:pPr>
        <w:widowControl w:val="0"/>
        <w:autoSpaceDE w:val="0"/>
        <w:autoSpaceDN w:val="0"/>
        <w:adjustRightInd w:val="0"/>
        <w:spacing w:after="0" w:line="240" w:lineRule="auto"/>
        <w:rPr>
          <w:rFonts w:eastAsia="Times New Roman"/>
          <w:szCs w:val="20"/>
          <w:lang w:val="en-US"/>
        </w:rPr>
      </w:pPr>
    </w:p>
    <w:p w14:paraId="55E01DA7" w14:textId="2B051415" w:rsidR="004E333C" w:rsidRPr="0059317C" w:rsidRDefault="004E333C" w:rsidP="004E333C">
      <w:pPr>
        <w:widowControl w:val="0"/>
        <w:autoSpaceDE w:val="0"/>
        <w:autoSpaceDN w:val="0"/>
        <w:adjustRightInd w:val="0"/>
        <w:spacing w:after="0" w:line="240" w:lineRule="auto"/>
        <w:rPr>
          <w:rFonts w:eastAsia="Times New Roman"/>
          <w:szCs w:val="20"/>
          <w:lang w:val="en-US"/>
        </w:rPr>
      </w:pPr>
      <w:r w:rsidRPr="0059317C">
        <w:rPr>
          <w:rFonts w:eastAsia="Times New Roman"/>
          <w:szCs w:val="20"/>
          <w:lang w:val="en-US"/>
        </w:rPr>
        <w:t xml:space="preserve">Admittedly, the more visual, lower-tech approach of petrography is more readily understood by archaeologists, who are generally not trained in the natural sciences, and if the results are in accord with preconceived ideas, they will be more </w:t>
      </w:r>
      <w:r w:rsidRPr="0059317C">
        <w:rPr>
          <w:rFonts w:eastAsia="Times New Roman"/>
          <w:szCs w:val="20"/>
          <w:lang w:val="en-US"/>
        </w:rPr>
        <w:lastRenderedPageBreak/>
        <w:t>likely accepted than results based on sub-microscopic chemical elements and sophisticated statistical arguments.  The much lower cost of petrography in comparison to NAA, which requires a nuclear reactor, is also a consideratio</w:t>
      </w:r>
      <w:r w:rsidR="0075315E" w:rsidRPr="0059317C">
        <w:rPr>
          <w:rFonts w:eastAsia="Times New Roman"/>
          <w:szCs w:val="20"/>
          <w:lang w:val="en-US"/>
        </w:rPr>
        <w:t>n.</w:t>
      </w:r>
      <w:r w:rsidR="00E4251A" w:rsidRPr="0059317C">
        <w:rPr>
          <w:rFonts w:eastAsia="Times New Roman"/>
          <w:szCs w:val="20"/>
          <w:lang w:val="en-US"/>
        </w:rPr>
        <w:t xml:space="preserve"> </w:t>
      </w:r>
      <w:r w:rsidRPr="0059317C">
        <w:rPr>
          <w:rFonts w:eastAsia="Times New Roman"/>
          <w:szCs w:val="20"/>
          <w:lang w:val="en-US"/>
        </w:rPr>
        <w:t xml:space="preserve"> However, when weighing the relative merits of the NAA evidence for MBA pottery </w:t>
      </w:r>
      <w:r w:rsidR="00841FCA" w:rsidRPr="0059317C">
        <w:rPr>
          <w:rFonts w:eastAsia="Times New Roman"/>
          <w:szCs w:val="20"/>
          <w:lang w:val="en-US"/>
        </w:rPr>
        <w:t>provenance</w:t>
      </w:r>
      <w:r w:rsidRPr="0059317C">
        <w:rPr>
          <w:rFonts w:eastAsia="Times New Roman"/>
          <w:szCs w:val="20"/>
          <w:lang w:val="en-US"/>
        </w:rPr>
        <w:t xml:space="preserve">s vis-à-vis </w:t>
      </w:r>
      <w:r w:rsidR="00047356" w:rsidRPr="0059317C">
        <w:rPr>
          <w:rFonts w:eastAsia="Times New Roman"/>
          <w:szCs w:val="20"/>
          <w:lang w:val="en-US"/>
        </w:rPr>
        <w:t>the results</w:t>
      </w:r>
      <w:r w:rsidRPr="0059317C">
        <w:rPr>
          <w:rFonts w:eastAsia="Times New Roman"/>
          <w:szCs w:val="20"/>
          <w:lang w:val="en-US"/>
        </w:rPr>
        <w:t xml:space="preserve"> obtained by petrography, even as a non-specialist, consider this: how much reliance would you put in a radiocarbon </w:t>
      </w:r>
      <w:r w:rsidR="006C5CC5" w:rsidRPr="0059317C">
        <w:rPr>
          <w:rFonts w:eastAsia="Times New Roman"/>
          <w:szCs w:val="20"/>
          <w:lang w:val="en-US"/>
        </w:rPr>
        <w:t>date</w:t>
      </w:r>
      <w:r w:rsidRPr="0059317C">
        <w:rPr>
          <w:rFonts w:eastAsia="Times New Roman"/>
          <w:szCs w:val="20"/>
          <w:lang w:val="en-US"/>
        </w:rPr>
        <w:t xml:space="preserve"> that was based on very imprecise data and no statistics?  </w:t>
      </w:r>
    </w:p>
    <w:p w14:paraId="11DE6444" w14:textId="77777777" w:rsidR="004E333C" w:rsidRPr="0059317C" w:rsidRDefault="004E333C" w:rsidP="004E333C">
      <w:pPr>
        <w:widowControl w:val="0"/>
        <w:autoSpaceDE w:val="0"/>
        <w:autoSpaceDN w:val="0"/>
        <w:adjustRightInd w:val="0"/>
        <w:spacing w:after="0" w:line="240" w:lineRule="auto"/>
        <w:rPr>
          <w:rFonts w:eastAsia="Times New Roman"/>
          <w:szCs w:val="20"/>
          <w:lang w:val="en-US"/>
        </w:rPr>
      </w:pPr>
    </w:p>
    <w:p w14:paraId="1BB93AF4" w14:textId="7E1AA1AF" w:rsidR="008E4847" w:rsidRPr="0059317C" w:rsidRDefault="0026536D" w:rsidP="0094017D">
      <w:pPr>
        <w:widowControl w:val="0"/>
        <w:autoSpaceDE w:val="0"/>
        <w:autoSpaceDN w:val="0"/>
        <w:adjustRightInd w:val="0"/>
        <w:spacing w:after="0" w:line="240" w:lineRule="auto"/>
        <w:rPr>
          <w:rFonts w:eastAsiaTheme="minorEastAsia"/>
          <w:szCs w:val="20"/>
          <w:lang w:val="en-US"/>
        </w:rPr>
      </w:pPr>
      <w:r w:rsidRPr="0059317C">
        <w:rPr>
          <w:rFonts w:eastAsia="Times New Roman"/>
          <w:szCs w:val="20"/>
          <w:lang w:val="en-US"/>
        </w:rPr>
        <w:t>In</w:t>
      </w:r>
      <w:r w:rsidR="00362BC2" w:rsidRPr="0059317C">
        <w:rPr>
          <w:rFonts w:eastAsia="Times New Roman"/>
          <w:szCs w:val="20"/>
          <w:lang w:val="en-US"/>
        </w:rPr>
        <w:t xml:space="preserve"> contrast</w:t>
      </w:r>
      <w:r w:rsidRPr="0059317C">
        <w:rPr>
          <w:rFonts w:eastAsia="Times New Roman"/>
          <w:szCs w:val="20"/>
          <w:lang w:val="en-US"/>
        </w:rPr>
        <w:t xml:space="preserve"> to</w:t>
      </w:r>
      <w:r w:rsidR="00362BC2" w:rsidRPr="0059317C">
        <w:rPr>
          <w:rFonts w:eastAsia="Times New Roman"/>
          <w:szCs w:val="20"/>
          <w:lang w:val="en-US"/>
        </w:rPr>
        <w:t xml:space="preserve"> </w:t>
      </w:r>
      <w:r w:rsidR="00F12291" w:rsidRPr="0059317C">
        <w:rPr>
          <w:rFonts w:eastAsia="Times New Roman"/>
          <w:szCs w:val="20"/>
          <w:lang w:val="en-US"/>
        </w:rPr>
        <w:t>three</w:t>
      </w:r>
      <w:r w:rsidR="002F0B02">
        <w:rPr>
          <w:rFonts w:eastAsia="Times New Roman"/>
          <w:szCs w:val="20"/>
          <w:lang w:val="en-US"/>
        </w:rPr>
        <w:t xml:space="preserve"> generally</w:t>
      </w:r>
      <w:r w:rsidR="00F12291" w:rsidRPr="0059317C">
        <w:rPr>
          <w:rFonts w:eastAsia="Times New Roman"/>
          <w:szCs w:val="20"/>
          <w:lang w:val="en-US"/>
        </w:rPr>
        <w:t xml:space="preserve"> favorable reviews</w:t>
      </w:r>
      <w:r w:rsidR="00690430">
        <w:rPr>
          <w:rFonts w:eastAsia="Times New Roman"/>
          <w:szCs w:val="20"/>
          <w:lang w:val="en-US"/>
        </w:rPr>
        <w:t>,</w:t>
      </w:r>
      <w:r w:rsidR="004E333C" w:rsidRPr="0059317C">
        <w:rPr>
          <w:rFonts w:eastAsia="Times New Roman"/>
          <w:szCs w:val="20"/>
          <w:lang w:val="en-US"/>
        </w:rPr>
        <w:t xml:space="preserve"> two reviewers</w:t>
      </w:r>
      <w:r w:rsidR="00AA0721" w:rsidRPr="0059317C">
        <w:rPr>
          <w:rFonts w:eastAsia="Times New Roman"/>
          <w:szCs w:val="20"/>
          <w:vertAlign w:val="superscript"/>
          <w:lang w:val="en-US"/>
        </w:rPr>
        <w:footnoteReference w:id="19"/>
      </w:r>
      <w:r w:rsidR="004E333C" w:rsidRPr="0059317C">
        <w:rPr>
          <w:rFonts w:eastAsia="Times New Roman"/>
          <w:szCs w:val="20"/>
          <w:lang w:val="en-US"/>
        </w:rPr>
        <w:t xml:space="preserve"> of the book failed to appreciate the relative merits of NAA for </w:t>
      </w:r>
      <w:r w:rsidR="00DE705A" w:rsidRPr="0059317C">
        <w:rPr>
          <w:rFonts w:eastAsia="Times New Roman"/>
          <w:szCs w:val="20"/>
          <w:lang w:val="en-US"/>
        </w:rPr>
        <w:t>Lev</w:t>
      </w:r>
      <w:r w:rsidR="003570C0" w:rsidRPr="0059317C">
        <w:rPr>
          <w:rFonts w:eastAsia="Times New Roman"/>
          <w:szCs w:val="20"/>
          <w:lang w:val="en-US"/>
        </w:rPr>
        <w:t>a</w:t>
      </w:r>
      <w:r w:rsidR="00DE705A" w:rsidRPr="0059317C">
        <w:rPr>
          <w:rFonts w:eastAsia="Times New Roman"/>
          <w:szCs w:val="20"/>
          <w:lang w:val="en-US"/>
        </w:rPr>
        <w:t xml:space="preserve">ntine </w:t>
      </w:r>
      <w:r w:rsidR="004E333C" w:rsidRPr="0059317C">
        <w:rPr>
          <w:rFonts w:eastAsia="Times New Roman"/>
          <w:szCs w:val="20"/>
          <w:lang w:val="en-US"/>
        </w:rPr>
        <w:t xml:space="preserve">pottery </w:t>
      </w:r>
      <w:r w:rsidR="00841FCA" w:rsidRPr="0059317C">
        <w:rPr>
          <w:rFonts w:eastAsia="Times New Roman"/>
          <w:szCs w:val="20"/>
          <w:lang w:val="en-US"/>
        </w:rPr>
        <w:t>provenanc</w:t>
      </w:r>
      <w:r w:rsidR="001C3E34" w:rsidRPr="0059317C">
        <w:rPr>
          <w:rFonts w:eastAsia="Times New Roman"/>
          <w:szCs w:val="20"/>
          <w:lang w:val="en-US"/>
        </w:rPr>
        <w:t xml:space="preserve">ing </w:t>
      </w:r>
      <w:r w:rsidR="004E333C" w:rsidRPr="0059317C">
        <w:rPr>
          <w:rFonts w:eastAsia="Times New Roman"/>
          <w:szCs w:val="20"/>
          <w:lang w:val="en-US"/>
        </w:rPr>
        <w:t>over those of petrography.</w:t>
      </w:r>
      <w:r w:rsidR="00DA5576" w:rsidRPr="0059317C">
        <w:rPr>
          <w:rFonts w:eastAsia="Times New Roman"/>
          <w:szCs w:val="20"/>
          <w:lang w:val="en-US"/>
        </w:rPr>
        <w:t xml:space="preserve"> </w:t>
      </w:r>
      <w:r w:rsidR="001347B0" w:rsidRPr="0059317C">
        <w:rPr>
          <w:rFonts w:eastAsia="Times New Roman"/>
          <w:szCs w:val="20"/>
          <w:lang w:val="en-US"/>
        </w:rPr>
        <w:t xml:space="preserve"> </w:t>
      </w:r>
      <w:r w:rsidR="006D0AE9">
        <w:rPr>
          <w:rFonts w:eastAsia="Times New Roman"/>
          <w:szCs w:val="20"/>
          <w:lang w:val="en-US"/>
        </w:rPr>
        <w:t xml:space="preserve">Both were members of the Tell el-Dab`a team, </w:t>
      </w:r>
      <w:r w:rsidR="006D0AE9" w:rsidRPr="0059317C">
        <w:rPr>
          <w:rFonts w:eastAsia="Times New Roman"/>
          <w:szCs w:val="20"/>
          <w:lang w:val="en-US"/>
        </w:rPr>
        <w:t>Goren himself</w:t>
      </w:r>
      <w:r w:rsidR="006D0AE9">
        <w:rPr>
          <w:rFonts w:eastAsia="Times New Roman"/>
          <w:szCs w:val="20"/>
          <w:lang w:val="en-US"/>
        </w:rPr>
        <w:t xml:space="preserve"> as</w:t>
      </w:r>
      <w:r w:rsidR="006D0AE9" w:rsidRPr="0059317C">
        <w:rPr>
          <w:rFonts w:eastAsia="Times New Roman"/>
          <w:szCs w:val="20"/>
          <w:lang w:val="en-US"/>
        </w:rPr>
        <w:t xml:space="preserve"> </w:t>
      </w:r>
      <w:r w:rsidR="006D0AE9" w:rsidRPr="0059317C">
        <w:rPr>
          <w:rFonts w:eastAsiaTheme="minorEastAsia"/>
          <w:szCs w:val="20"/>
          <w:lang w:val="en-US"/>
        </w:rPr>
        <w:t>the Tell el-Dab`a petrograph</w:t>
      </w:r>
      <w:r w:rsidR="00E851D6">
        <w:rPr>
          <w:rFonts w:eastAsiaTheme="minorEastAsia"/>
          <w:szCs w:val="20"/>
          <w:lang w:val="en-US"/>
        </w:rPr>
        <w:t>ic specialist</w:t>
      </w:r>
      <w:r w:rsidR="006D0AE9">
        <w:rPr>
          <w:rFonts w:eastAsiaTheme="minorEastAsia"/>
          <w:szCs w:val="20"/>
          <w:lang w:val="en-US"/>
        </w:rPr>
        <w:t xml:space="preserve">, and </w:t>
      </w:r>
      <w:r w:rsidR="006D0AE9" w:rsidRPr="0059317C">
        <w:rPr>
          <w:rFonts w:eastAsiaTheme="minorEastAsia"/>
          <w:szCs w:val="20"/>
          <w:lang w:val="en-US"/>
        </w:rPr>
        <w:t>Dr. David Aston</w:t>
      </w:r>
      <w:r w:rsidR="006D0AE9">
        <w:rPr>
          <w:rFonts w:eastAsia="Times New Roman"/>
          <w:szCs w:val="20"/>
          <w:lang w:val="en-US"/>
        </w:rPr>
        <w:t xml:space="preserve">, </w:t>
      </w:r>
      <w:r w:rsidR="00E851D6">
        <w:rPr>
          <w:rFonts w:eastAsia="Times New Roman"/>
          <w:szCs w:val="20"/>
          <w:lang w:val="en-US"/>
        </w:rPr>
        <w:t xml:space="preserve">the </w:t>
      </w:r>
      <w:r w:rsidR="006D0AE9" w:rsidRPr="0059317C">
        <w:rPr>
          <w:rFonts w:eastAsiaTheme="minorEastAsia"/>
          <w:szCs w:val="20"/>
          <w:lang w:val="en-US"/>
        </w:rPr>
        <w:t>long</w:t>
      </w:r>
      <w:r w:rsidR="006D0AE9">
        <w:rPr>
          <w:rFonts w:eastAsiaTheme="minorEastAsia"/>
          <w:szCs w:val="20"/>
          <w:lang w:val="en-US"/>
        </w:rPr>
        <w:t>-time</w:t>
      </w:r>
      <w:r w:rsidR="006D0AE9" w:rsidRPr="0059317C">
        <w:rPr>
          <w:rFonts w:eastAsiaTheme="minorEastAsia"/>
          <w:szCs w:val="20"/>
          <w:lang w:val="en-US"/>
        </w:rPr>
        <w:t xml:space="preserve"> pottery consultant for the Tell el-Dab`a project</w:t>
      </w:r>
      <w:r w:rsidR="00E851D6">
        <w:rPr>
          <w:rFonts w:eastAsia="Times New Roman"/>
          <w:szCs w:val="20"/>
          <w:lang w:val="en-US"/>
        </w:rPr>
        <w:t>.</w:t>
      </w:r>
      <w:r w:rsidR="006F3554" w:rsidRPr="0059317C">
        <w:rPr>
          <w:rFonts w:eastAsiaTheme="minorEastAsia"/>
          <w:szCs w:val="20"/>
          <w:lang w:val="en-US"/>
        </w:rPr>
        <w:t xml:space="preserve"> </w:t>
      </w:r>
      <w:r w:rsidR="0081086E" w:rsidRPr="0059317C">
        <w:rPr>
          <w:rFonts w:eastAsiaTheme="minorEastAsia"/>
          <w:szCs w:val="20"/>
          <w:lang w:val="en-US"/>
        </w:rPr>
        <w:t xml:space="preserve"> </w:t>
      </w:r>
      <w:r w:rsidR="00E851D6">
        <w:rPr>
          <w:rFonts w:eastAsiaTheme="minorEastAsia"/>
          <w:szCs w:val="20"/>
          <w:lang w:val="en-US"/>
        </w:rPr>
        <w:t xml:space="preserve">Neither was well-qualified to assess the methodology and results for the NAA analyses, since Goren had been trained as an archaeologist </w:t>
      </w:r>
      <w:r w:rsidR="006E403F">
        <w:rPr>
          <w:rFonts w:eastAsiaTheme="minorEastAsia"/>
          <w:szCs w:val="20"/>
          <w:lang w:val="en-US"/>
        </w:rPr>
        <w:t>and</w:t>
      </w:r>
      <w:r w:rsidR="008D3888">
        <w:rPr>
          <w:rFonts w:eastAsiaTheme="minorEastAsia"/>
          <w:szCs w:val="20"/>
          <w:lang w:val="en-US"/>
        </w:rPr>
        <w:t xml:space="preserve"> </w:t>
      </w:r>
      <w:r w:rsidR="006E403F">
        <w:rPr>
          <w:rFonts w:eastAsiaTheme="minorEastAsia"/>
          <w:szCs w:val="20"/>
          <w:lang w:val="en-US"/>
        </w:rPr>
        <w:t>petrographer</w:t>
      </w:r>
      <w:r w:rsidR="008D3888">
        <w:rPr>
          <w:rFonts w:eastAsiaTheme="minorEastAsia"/>
          <w:szCs w:val="20"/>
          <w:lang w:val="en-US"/>
        </w:rPr>
        <w:t xml:space="preserve"> </w:t>
      </w:r>
      <w:r w:rsidR="00E851D6">
        <w:rPr>
          <w:rFonts w:eastAsiaTheme="minorEastAsia"/>
          <w:szCs w:val="20"/>
          <w:lang w:val="en-US"/>
        </w:rPr>
        <w:t xml:space="preserve">and Aston as an Egyptologist.  </w:t>
      </w:r>
      <w:r w:rsidR="00D13FB3" w:rsidRPr="0059317C">
        <w:rPr>
          <w:rFonts w:eastAsiaTheme="minorEastAsia"/>
          <w:szCs w:val="20"/>
          <w:lang w:val="en-US"/>
        </w:rPr>
        <w:t xml:space="preserve">By contrast, </w:t>
      </w:r>
      <w:r w:rsidR="00D13FB3" w:rsidRPr="0059317C">
        <w:rPr>
          <w:rFonts w:eastAsiaTheme="minorEastAsia"/>
          <w:szCs w:val="20"/>
        </w:rPr>
        <w:t xml:space="preserve">the review by </w:t>
      </w:r>
      <w:r w:rsidR="00E851D6">
        <w:rPr>
          <w:rFonts w:eastAsiaTheme="minorEastAsia"/>
          <w:szCs w:val="20"/>
        </w:rPr>
        <w:t>Dr. Hector Neff</w:t>
      </w:r>
      <w:r w:rsidR="00D64235">
        <w:rPr>
          <w:rFonts w:eastAsiaTheme="minorEastAsia"/>
          <w:szCs w:val="20"/>
        </w:rPr>
        <w:t xml:space="preserve">, </w:t>
      </w:r>
      <w:r w:rsidR="00E851D6">
        <w:rPr>
          <w:rFonts w:eastAsiaTheme="minorEastAsia"/>
          <w:szCs w:val="20"/>
        </w:rPr>
        <w:t>an accomplished NAA practitioner</w:t>
      </w:r>
      <w:r w:rsidR="0051585F">
        <w:rPr>
          <w:rFonts w:eastAsiaTheme="minorEastAsia"/>
          <w:szCs w:val="20"/>
        </w:rPr>
        <w:t xml:space="preserve"> and archaeologist</w:t>
      </w:r>
      <w:r w:rsidR="00E851D6">
        <w:rPr>
          <w:rFonts w:eastAsiaTheme="minorEastAsia"/>
          <w:szCs w:val="20"/>
        </w:rPr>
        <w:t xml:space="preserve">, </w:t>
      </w:r>
      <w:r w:rsidR="00A85472">
        <w:rPr>
          <w:rFonts w:eastAsiaTheme="minorEastAsia"/>
          <w:szCs w:val="20"/>
        </w:rPr>
        <w:t xml:space="preserve">should carry more weight.  Additionally, the reviews by </w:t>
      </w:r>
      <w:r w:rsidR="00CC0386">
        <w:rPr>
          <w:rFonts w:eastAsiaTheme="minorEastAsia"/>
          <w:szCs w:val="20"/>
        </w:rPr>
        <w:t>Stephen Bourke</w:t>
      </w:r>
      <w:r w:rsidR="00CC0386" w:rsidRPr="0059317C" w:rsidDel="00E851D6">
        <w:rPr>
          <w:rFonts w:eastAsiaTheme="minorEastAsia"/>
          <w:szCs w:val="20"/>
        </w:rPr>
        <w:t xml:space="preserve"> </w:t>
      </w:r>
      <w:r w:rsidR="00CC0386">
        <w:rPr>
          <w:rFonts w:eastAsiaTheme="minorEastAsia"/>
          <w:szCs w:val="20"/>
        </w:rPr>
        <w:t>(a Palestinian archaeologist, who direct</w:t>
      </w:r>
      <w:r w:rsidR="008D3888">
        <w:rPr>
          <w:rFonts w:eastAsiaTheme="minorEastAsia"/>
          <w:szCs w:val="20"/>
        </w:rPr>
        <w:t>s</w:t>
      </w:r>
      <w:r w:rsidR="00CC0386">
        <w:rPr>
          <w:rFonts w:eastAsiaTheme="minorEastAsia"/>
          <w:szCs w:val="20"/>
        </w:rPr>
        <w:t xml:space="preserve"> the excavations of MBA levels at Pella), and </w:t>
      </w:r>
      <w:r w:rsidR="00654A11" w:rsidRPr="0059317C">
        <w:rPr>
          <w:rFonts w:eastAsiaTheme="minorEastAsia"/>
          <w:szCs w:val="20"/>
        </w:rPr>
        <w:t xml:space="preserve">Dr. Linda </w:t>
      </w:r>
      <w:r w:rsidR="00D13FB3" w:rsidRPr="0059317C">
        <w:rPr>
          <w:rFonts w:eastAsiaTheme="minorEastAsia"/>
          <w:szCs w:val="20"/>
        </w:rPr>
        <w:t>Hulin</w:t>
      </w:r>
      <w:r w:rsidR="00CC0386">
        <w:rPr>
          <w:rFonts w:eastAsiaTheme="minorEastAsia"/>
          <w:szCs w:val="20"/>
        </w:rPr>
        <w:t xml:space="preserve"> (</w:t>
      </w:r>
      <w:r w:rsidR="00D13FB3" w:rsidRPr="0059317C">
        <w:rPr>
          <w:rFonts w:eastAsiaTheme="minorEastAsia"/>
          <w:szCs w:val="20"/>
        </w:rPr>
        <w:t>an Egyptologist</w:t>
      </w:r>
      <w:r w:rsidR="0051585F">
        <w:rPr>
          <w:rFonts w:eastAsiaTheme="minorEastAsia"/>
          <w:szCs w:val="20"/>
        </w:rPr>
        <w:t xml:space="preserve"> and archaeologist</w:t>
      </w:r>
      <w:r w:rsidR="00CC0386">
        <w:rPr>
          <w:rFonts w:eastAsiaTheme="minorEastAsia"/>
          <w:szCs w:val="20"/>
        </w:rPr>
        <w:t>)</w:t>
      </w:r>
      <w:r w:rsidR="003F4525" w:rsidRPr="0059317C">
        <w:rPr>
          <w:rFonts w:eastAsiaTheme="minorEastAsia"/>
          <w:szCs w:val="20"/>
        </w:rPr>
        <w:t xml:space="preserve"> </w:t>
      </w:r>
      <w:r w:rsidR="00D13FB3" w:rsidRPr="0059317C">
        <w:rPr>
          <w:rFonts w:eastAsiaTheme="minorEastAsia"/>
          <w:szCs w:val="20"/>
        </w:rPr>
        <w:t>point</w:t>
      </w:r>
      <w:r w:rsidR="00E851D6">
        <w:rPr>
          <w:rFonts w:eastAsiaTheme="minorEastAsia"/>
          <w:szCs w:val="20"/>
        </w:rPr>
        <w:t>ed</w:t>
      </w:r>
      <w:r w:rsidR="00D13FB3" w:rsidRPr="0059317C">
        <w:rPr>
          <w:rFonts w:eastAsiaTheme="minorEastAsia"/>
          <w:szCs w:val="20"/>
        </w:rPr>
        <w:t xml:space="preserve"> out </w:t>
      </w:r>
      <w:r w:rsidR="00E851D6">
        <w:rPr>
          <w:rFonts w:eastAsiaTheme="minorEastAsia"/>
          <w:szCs w:val="20"/>
        </w:rPr>
        <w:t xml:space="preserve">both </w:t>
      </w:r>
      <w:r w:rsidR="00A85472">
        <w:rPr>
          <w:rFonts w:eastAsiaTheme="minorEastAsia"/>
          <w:szCs w:val="20"/>
        </w:rPr>
        <w:t xml:space="preserve">the </w:t>
      </w:r>
      <w:r w:rsidR="00E851D6" w:rsidRPr="0059317C">
        <w:rPr>
          <w:rFonts w:eastAsiaTheme="minorEastAsia"/>
          <w:szCs w:val="20"/>
        </w:rPr>
        <w:t xml:space="preserve">strengths and </w:t>
      </w:r>
      <w:r w:rsidR="00D13FB3" w:rsidRPr="0059317C">
        <w:rPr>
          <w:rFonts w:eastAsiaTheme="minorEastAsia"/>
          <w:szCs w:val="20"/>
        </w:rPr>
        <w:t>weaknesses</w:t>
      </w:r>
      <w:r w:rsidR="00E851D6">
        <w:rPr>
          <w:rFonts w:eastAsiaTheme="minorEastAsia"/>
          <w:szCs w:val="20"/>
        </w:rPr>
        <w:t xml:space="preserve"> in my book</w:t>
      </w:r>
      <w:r w:rsidR="00D13FB3" w:rsidRPr="0059317C">
        <w:rPr>
          <w:rFonts w:eastAsiaTheme="minorEastAsia"/>
          <w:szCs w:val="20"/>
        </w:rPr>
        <w:t xml:space="preserve">, nearly all of which </w:t>
      </w:r>
      <w:r w:rsidR="00E851D6">
        <w:rPr>
          <w:rFonts w:eastAsiaTheme="minorEastAsia"/>
          <w:szCs w:val="20"/>
        </w:rPr>
        <w:t>I</w:t>
      </w:r>
      <w:r w:rsidR="00D13FB3" w:rsidRPr="0059317C">
        <w:rPr>
          <w:rFonts w:eastAsiaTheme="minorEastAsia"/>
          <w:szCs w:val="20"/>
        </w:rPr>
        <w:t xml:space="preserve"> agree with</w:t>
      </w:r>
      <w:r w:rsidR="00E029FA">
        <w:rPr>
          <w:rFonts w:eastAsiaTheme="minorEastAsia"/>
          <w:szCs w:val="20"/>
        </w:rPr>
        <w:t xml:space="preserve"> (for references</w:t>
      </w:r>
      <w:r w:rsidR="00A85472">
        <w:rPr>
          <w:rFonts w:eastAsiaTheme="minorEastAsia"/>
          <w:szCs w:val="20"/>
        </w:rPr>
        <w:t xml:space="preserve"> to reviews</w:t>
      </w:r>
      <w:r w:rsidR="00E029FA">
        <w:rPr>
          <w:rFonts w:eastAsiaTheme="minorEastAsia"/>
          <w:szCs w:val="20"/>
        </w:rPr>
        <w:t xml:space="preserve">, see </w:t>
      </w:r>
      <w:r w:rsidR="004F4CD9">
        <w:rPr>
          <w:rFonts w:eastAsiaTheme="minorEastAsia"/>
          <w:szCs w:val="20"/>
        </w:rPr>
        <w:t>footnote</w:t>
      </w:r>
      <w:r w:rsidR="00E029FA">
        <w:rPr>
          <w:rFonts w:eastAsiaTheme="minorEastAsia"/>
          <w:szCs w:val="20"/>
        </w:rPr>
        <w:t xml:space="preserve"> 1)</w:t>
      </w:r>
      <w:r w:rsidR="00D13FB3" w:rsidRPr="0059317C">
        <w:rPr>
          <w:rFonts w:eastAsiaTheme="minorEastAsia"/>
          <w:szCs w:val="20"/>
        </w:rPr>
        <w:t>.</w:t>
      </w:r>
    </w:p>
    <w:p w14:paraId="2C176999" w14:textId="77777777" w:rsidR="008E4847" w:rsidRPr="0059317C" w:rsidRDefault="008E4847" w:rsidP="0094017D">
      <w:pPr>
        <w:widowControl w:val="0"/>
        <w:autoSpaceDE w:val="0"/>
        <w:autoSpaceDN w:val="0"/>
        <w:adjustRightInd w:val="0"/>
        <w:spacing w:after="0" w:line="240" w:lineRule="auto"/>
        <w:rPr>
          <w:rFonts w:eastAsiaTheme="minorEastAsia"/>
          <w:szCs w:val="20"/>
          <w:lang w:val="en-US"/>
        </w:rPr>
      </w:pPr>
    </w:p>
    <w:p w14:paraId="193AECF3" w14:textId="17327032" w:rsidR="004F266F" w:rsidRPr="0059317C" w:rsidRDefault="00F22B00" w:rsidP="0094017D">
      <w:pPr>
        <w:widowControl w:val="0"/>
        <w:autoSpaceDE w:val="0"/>
        <w:autoSpaceDN w:val="0"/>
        <w:adjustRightInd w:val="0"/>
        <w:spacing w:after="0" w:line="240" w:lineRule="auto"/>
        <w:rPr>
          <w:rFonts w:eastAsiaTheme="minorEastAsia"/>
          <w:szCs w:val="20"/>
          <w:lang w:val="en-US"/>
        </w:rPr>
      </w:pPr>
      <w:r w:rsidRPr="0059317C">
        <w:rPr>
          <w:rFonts w:eastAsiaTheme="minorEastAsia"/>
          <w:szCs w:val="20"/>
          <w:lang w:val="en-US"/>
        </w:rPr>
        <w:t>Both Goren and Aston</w:t>
      </w:r>
      <w:r w:rsidR="008E4847" w:rsidRPr="0059317C">
        <w:rPr>
          <w:rFonts w:eastAsiaTheme="minorEastAsia"/>
          <w:szCs w:val="20"/>
          <w:lang w:val="en-US"/>
        </w:rPr>
        <w:t xml:space="preserve">’s critiques </w:t>
      </w:r>
      <w:r w:rsidR="00E851D6">
        <w:rPr>
          <w:rFonts w:eastAsiaTheme="minorEastAsia"/>
          <w:szCs w:val="20"/>
          <w:lang w:val="en-US"/>
        </w:rPr>
        <w:t xml:space="preserve">concur </w:t>
      </w:r>
      <w:r w:rsidR="008D3888">
        <w:rPr>
          <w:rFonts w:eastAsiaTheme="minorEastAsia"/>
          <w:szCs w:val="20"/>
          <w:lang w:val="en-US"/>
        </w:rPr>
        <w:t xml:space="preserve">in </w:t>
      </w:r>
      <w:r w:rsidR="00E851D6">
        <w:rPr>
          <w:rFonts w:eastAsiaTheme="minorEastAsia"/>
          <w:szCs w:val="20"/>
          <w:lang w:val="en-US"/>
        </w:rPr>
        <w:t xml:space="preserve">stressing that </w:t>
      </w:r>
      <w:r w:rsidR="00E851D6" w:rsidRPr="0059317C">
        <w:rPr>
          <w:rFonts w:eastAsiaTheme="minorEastAsia"/>
          <w:szCs w:val="20"/>
          <w:lang w:val="en-US"/>
        </w:rPr>
        <w:t>the NAA data coverage for the northern Levant was relatively poor</w:t>
      </w:r>
      <w:r w:rsidR="00E851D6">
        <w:rPr>
          <w:rFonts w:eastAsiaTheme="minorEastAsia"/>
          <w:szCs w:val="20"/>
          <w:lang w:val="en-US"/>
        </w:rPr>
        <w:t xml:space="preserve"> for the NAA study.  </w:t>
      </w:r>
      <w:r w:rsidR="00E851D6" w:rsidRPr="0059317C">
        <w:rPr>
          <w:rFonts w:eastAsiaTheme="minorEastAsia"/>
          <w:szCs w:val="20"/>
          <w:lang w:val="en-US"/>
        </w:rPr>
        <w:t xml:space="preserve"> </w:t>
      </w:r>
      <w:r w:rsidR="00E851D6">
        <w:rPr>
          <w:rFonts w:eastAsiaTheme="minorEastAsia"/>
          <w:szCs w:val="20"/>
          <w:lang w:val="en-US"/>
        </w:rPr>
        <w:t>Yet</w:t>
      </w:r>
      <w:r w:rsidR="00AF7E65" w:rsidRPr="0059317C">
        <w:rPr>
          <w:rFonts w:eastAsiaTheme="minorEastAsia"/>
          <w:szCs w:val="20"/>
          <w:lang w:val="en-US"/>
        </w:rPr>
        <w:t xml:space="preserve">, I admitted </w:t>
      </w:r>
      <w:r w:rsidR="009173A5" w:rsidRPr="0059317C">
        <w:rPr>
          <w:rFonts w:eastAsiaTheme="minorEastAsia"/>
          <w:szCs w:val="20"/>
          <w:lang w:val="en-US"/>
        </w:rPr>
        <w:t xml:space="preserve">in the book </w:t>
      </w:r>
      <w:r w:rsidR="00AF7E65" w:rsidRPr="0059317C">
        <w:rPr>
          <w:rFonts w:eastAsiaTheme="minorEastAsia"/>
          <w:szCs w:val="20"/>
          <w:lang w:val="en-US"/>
        </w:rPr>
        <w:t xml:space="preserve">that our NAA coverage of the northern Levant needed to be </w:t>
      </w:r>
      <w:r w:rsidR="005E279D" w:rsidRPr="0059317C">
        <w:rPr>
          <w:rFonts w:eastAsiaTheme="minorEastAsia"/>
          <w:szCs w:val="20"/>
          <w:lang w:val="en-US"/>
        </w:rPr>
        <w:t xml:space="preserve">expanded, and </w:t>
      </w:r>
      <w:r w:rsidR="00453144" w:rsidRPr="0059317C">
        <w:rPr>
          <w:rFonts w:eastAsiaTheme="minorEastAsia"/>
          <w:szCs w:val="20"/>
          <w:lang w:val="en-US"/>
        </w:rPr>
        <w:t xml:space="preserve">I </w:t>
      </w:r>
      <w:r w:rsidR="005E279D" w:rsidRPr="0059317C">
        <w:rPr>
          <w:rFonts w:eastAsiaTheme="minorEastAsia"/>
          <w:szCs w:val="20"/>
          <w:lang w:val="en-US"/>
        </w:rPr>
        <w:t xml:space="preserve">qualified my conclusions accordingly.  </w:t>
      </w:r>
      <w:r w:rsidR="00E851D6">
        <w:rPr>
          <w:rFonts w:eastAsiaTheme="minorEastAsia"/>
          <w:szCs w:val="20"/>
          <w:lang w:val="en-US"/>
        </w:rPr>
        <w:t xml:space="preserve">What both reviewers overlooked was that </w:t>
      </w:r>
      <w:r w:rsidRPr="0059317C">
        <w:rPr>
          <w:rFonts w:eastAsiaTheme="minorEastAsia"/>
          <w:szCs w:val="20"/>
          <w:lang w:val="en-US"/>
        </w:rPr>
        <w:t>petrographic</w:t>
      </w:r>
      <w:r w:rsidR="00677399" w:rsidRPr="0059317C">
        <w:rPr>
          <w:rFonts w:eastAsiaTheme="minorEastAsia"/>
          <w:szCs w:val="20"/>
          <w:lang w:val="en-US"/>
        </w:rPr>
        <w:t xml:space="preserve"> </w:t>
      </w:r>
      <w:r w:rsidR="00A9470F" w:rsidRPr="0059317C">
        <w:rPr>
          <w:rFonts w:eastAsiaTheme="minorEastAsia"/>
          <w:szCs w:val="20"/>
          <w:lang w:val="en-US"/>
        </w:rPr>
        <w:t>de</w:t>
      </w:r>
      <w:r w:rsidR="001C1DA5" w:rsidRPr="0059317C">
        <w:rPr>
          <w:rFonts w:eastAsiaTheme="minorEastAsia"/>
          <w:szCs w:val="20"/>
          <w:lang w:val="en-US"/>
        </w:rPr>
        <w:t>limitation of northern Levantine region</w:t>
      </w:r>
      <w:r w:rsidR="00A050F5" w:rsidRPr="0059317C">
        <w:rPr>
          <w:rFonts w:eastAsiaTheme="minorEastAsia"/>
          <w:szCs w:val="20"/>
          <w:lang w:val="en-US"/>
        </w:rPr>
        <w:t>al groups</w:t>
      </w:r>
      <w:r w:rsidR="001C1DA5" w:rsidRPr="0059317C">
        <w:rPr>
          <w:rFonts w:eastAsiaTheme="minorEastAsia"/>
          <w:szCs w:val="20"/>
          <w:lang w:val="en-US"/>
        </w:rPr>
        <w:t xml:space="preserve"> </w:t>
      </w:r>
      <w:r w:rsidR="00677399" w:rsidRPr="0059317C">
        <w:rPr>
          <w:rFonts w:eastAsiaTheme="minorEastAsia"/>
          <w:szCs w:val="20"/>
          <w:lang w:val="en-US"/>
        </w:rPr>
        <w:t xml:space="preserve">was </w:t>
      </w:r>
      <w:r w:rsidR="00A050F5" w:rsidRPr="0059317C">
        <w:rPr>
          <w:rFonts w:eastAsiaTheme="minorEastAsia"/>
          <w:szCs w:val="20"/>
          <w:lang w:val="en-US"/>
        </w:rPr>
        <w:t xml:space="preserve">much more </w:t>
      </w:r>
      <w:r w:rsidR="001C1DA5" w:rsidRPr="0059317C">
        <w:rPr>
          <w:rFonts w:eastAsiaTheme="minorEastAsia"/>
          <w:szCs w:val="20"/>
          <w:lang w:val="en-US"/>
        </w:rPr>
        <w:t>severely</w:t>
      </w:r>
      <w:r w:rsidR="00ED13AB" w:rsidRPr="0059317C">
        <w:rPr>
          <w:rFonts w:eastAsiaTheme="minorEastAsia"/>
          <w:szCs w:val="20"/>
          <w:lang w:val="en-US"/>
        </w:rPr>
        <w:t xml:space="preserve"> </w:t>
      </w:r>
      <w:r w:rsidR="00FE4D0A">
        <w:rPr>
          <w:rFonts w:eastAsiaTheme="minorEastAsia"/>
          <w:szCs w:val="20"/>
          <w:lang w:val="en-US"/>
        </w:rPr>
        <w:t>imprecise</w:t>
      </w:r>
      <w:r w:rsidR="00FE4D0A" w:rsidRPr="0059317C">
        <w:rPr>
          <w:rFonts w:eastAsiaTheme="minorEastAsia"/>
          <w:szCs w:val="20"/>
          <w:lang w:val="en-US"/>
        </w:rPr>
        <w:t xml:space="preserve"> </w:t>
      </w:r>
      <w:r w:rsidR="00A050F5" w:rsidRPr="0059317C">
        <w:rPr>
          <w:rFonts w:eastAsiaTheme="minorEastAsia"/>
          <w:szCs w:val="20"/>
          <w:lang w:val="en-US"/>
        </w:rPr>
        <w:t>due to</w:t>
      </w:r>
      <w:r w:rsidR="00ED13AB" w:rsidRPr="0059317C">
        <w:rPr>
          <w:rFonts w:eastAsiaTheme="minorEastAsia"/>
          <w:szCs w:val="20"/>
          <w:lang w:val="en-US"/>
        </w:rPr>
        <w:t xml:space="preserve"> </w:t>
      </w:r>
      <w:r w:rsidR="00453144" w:rsidRPr="0059317C">
        <w:rPr>
          <w:rFonts w:eastAsiaTheme="minorEastAsia"/>
          <w:szCs w:val="20"/>
          <w:lang w:val="en-US"/>
        </w:rPr>
        <w:t xml:space="preserve">a </w:t>
      </w:r>
      <w:r w:rsidR="00ED13AB" w:rsidRPr="0059317C">
        <w:rPr>
          <w:rFonts w:eastAsiaTheme="minorEastAsia"/>
          <w:szCs w:val="20"/>
          <w:lang w:val="en-US"/>
        </w:rPr>
        <w:t xml:space="preserve">lack of </w:t>
      </w:r>
      <w:r w:rsidR="002837A1" w:rsidRPr="0059317C">
        <w:rPr>
          <w:rFonts w:eastAsiaTheme="minorEastAsia"/>
          <w:szCs w:val="20"/>
          <w:lang w:val="en-US"/>
        </w:rPr>
        <w:t xml:space="preserve">archaeological, petrographic and raw material </w:t>
      </w:r>
      <w:r w:rsidR="00ED13AB" w:rsidRPr="0059317C">
        <w:rPr>
          <w:rFonts w:eastAsiaTheme="minorEastAsia"/>
          <w:szCs w:val="20"/>
          <w:lang w:val="en-US"/>
        </w:rPr>
        <w:t>data</w:t>
      </w:r>
      <w:r w:rsidR="002837A1" w:rsidRPr="0059317C">
        <w:rPr>
          <w:rFonts w:eastAsiaTheme="minorEastAsia"/>
          <w:szCs w:val="20"/>
          <w:lang w:val="en-US"/>
        </w:rPr>
        <w:t xml:space="preserve">, as well as </w:t>
      </w:r>
      <w:r w:rsidR="00A050F5" w:rsidRPr="0059317C">
        <w:rPr>
          <w:rFonts w:eastAsiaTheme="minorEastAsia"/>
          <w:szCs w:val="20"/>
          <w:lang w:val="en-US"/>
        </w:rPr>
        <w:t>unfounded</w:t>
      </w:r>
      <w:r w:rsidR="00ED13AB" w:rsidRPr="0059317C">
        <w:rPr>
          <w:rFonts w:eastAsiaTheme="minorEastAsia"/>
          <w:szCs w:val="20"/>
          <w:lang w:val="en-US"/>
        </w:rPr>
        <w:t xml:space="preserve"> </w:t>
      </w:r>
      <w:r w:rsidR="0094017D" w:rsidRPr="0059317C">
        <w:rPr>
          <w:rFonts w:eastAsiaTheme="minorEastAsia"/>
          <w:szCs w:val="20"/>
          <w:lang w:val="en-US"/>
        </w:rPr>
        <w:t>geological assumption</w:t>
      </w:r>
      <w:r w:rsidR="002837A1" w:rsidRPr="0059317C">
        <w:rPr>
          <w:rFonts w:eastAsiaTheme="minorEastAsia"/>
          <w:szCs w:val="20"/>
          <w:lang w:val="en-US"/>
        </w:rPr>
        <w:t>s,</w:t>
      </w:r>
      <w:r w:rsidR="0094017D" w:rsidRPr="0059317C">
        <w:rPr>
          <w:rFonts w:eastAsiaTheme="minorEastAsia"/>
          <w:szCs w:val="20"/>
          <w:lang w:val="en-US"/>
        </w:rPr>
        <w:t xml:space="preserve"> than were the NAA groups for the same region</w:t>
      </w:r>
      <w:r w:rsidR="00242F35" w:rsidRPr="0059317C">
        <w:rPr>
          <w:rFonts w:eastAsiaTheme="minorEastAsia"/>
          <w:szCs w:val="20"/>
          <w:lang w:val="en-US"/>
        </w:rPr>
        <w:t xml:space="preserve"> (for details, see above and the Addendum)</w:t>
      </w:r>
      <w:r w:rsidR="0094017D" w:rsidRPr="0059317C">
        <w:rPr>
          <w:rFonts w:eastAsiaTheme="minorEastAsia"/>
          <w:szCs w:val="20"/>
          <w:lang w:val="en-US"/>
        </w:rPr>
        <w:t>.</w:t>
      </w:r>
    </w:p>
    <w:p w14:paraId="04A0DC01" w14:textId="77777777" w:rsidR="0094017D" w:rsidRPr="0059317C" w:rsidRDefault="0094017D" w:rsidP="0094017D">
      <w:pPr>
        <w:widowControl w:val="0"/>
        <w:autoSpaceDE w:val="0"/>
        <w:autoSpaceDN w:val="0"/>
        <w:adjustRightInd w:val="0"/>
        <w:spacing w:after="0" w:line="240" w:lineRule="auto"/>
        <w:rPr>
          <w:rFonts w:eastAsiaTheme="minorEastAsia"/>
          <w:szCs w:val="20"/>
          <w:lang w:val="en-US"/>
        </w:rPr>
      </w:pPr>
    </w:p>
    <w:p w14:paraId="2A24CEE8" w14:textId="7607EB5B" w:rsidR="00DA5576" w:rsidRPr="0059317C" w:rsidRDefault="007920EC" w:rsidP="00DA5576">
      <w:pPr>
        <w:widowControl w:val="0"/>
        <w:autoSpaceDE w:val="0"/>
        <w:autoSpaceDN w:val="0"/>
        <w:adjustRightInd w:val="0"/>
        <w:spacing w:after="0" w:line="240" w:lineRule="auto"/>
        <w:rPr>
          <w:rFonts w:eastAsiaTheme="minorEastAsia"/>
          <w:szCs w:val="20"/>
          <w:lang w:val="en-US"/>
        </w:rPr>
      </w:pPr>
      <w:r w:rsidRPr="0059317C">
        <w:rPr>
          <w:rFonts w:eastAsiaTheme="minorEastAsia"/>
          <w:szCs w:val="20"/>
          <w:lang w:val="en-US"/>
        </w:rPr>
        <w:t>Goren</w:t>
      </w:r>
      <w:r w:rsidR="00DA5576" w:rsidRPr="0059317C">
        <w:rPr>
          <w:rFonts w:eastAsiaTheme="minorEastAsia"/>
          <w:szCs w:val="20"/>
          <w:lang w:val="en-US"/>
        </w:rPr>
        <w:t xml:space="preserve"> claim</w:t>
      </w:r>
      <w:r w:rsidR="00E851D6">
        <w:rPr>
          <w:rFonts w:eastAsiaTheme="minorEastAsia"/>
          <w:szCs w:val="20"/>
          <w:lang w:val="en-US"/>
        </w:rPr>
        <w:t>ed</w:t>
      </w:r>
      <w:r w:rsidR="00DA5576" w:rsidRPr="0059317C">
        <w:rPr>
          <w:rFonts w:eastAsiaTheme="minorEastAsia"/>
          <w:szCs w:val="20"/>
          <w:lang w:val="en-US"/>
        </w:rPr>
        <w:t xml:space="preserve"> that “this entire databank [of the Brookhaven and Missouri NAA labs] is of little significant value,” and advocated rechecking the NAA results </w:t>
      </w:r>
      <w:r w:rsidR="00DA5576" w:rsidRPr="0059317C">
        <w:rPr>
          <w:rFonts w:eastAsiaTheme="minorEastAsia"/>
          <w:szCs w:val="20"/>
          <w:lang w:val="en-US"/>
        </w:rPr>
        <w:lastRenderedPageBreak/>
        <w:t xml:space="preserve">against the “better-selected” database of the Lawrence Berkeley lab </w:t>
      </w:r>
      <w:r w:rsidR="008A26B3" w:rsidRPr="0059317C">
        <w:rPr>
          <w:rFonts w:eastAsiaTheme="minorEastAsia"/>
          <w:szCs w:val="20"/>
          <w:lang w:val="en-US"/>
        </w:rPr>
        <w:t>(footnote</w:t>
      </w:r>
      <w:r w:rsidR="00DA5576" w:rsidRPr="0059317C">
        <w:rPr>
          <w:rFonts w:eastAsiaTheme="minorEastAsia"/>
          <w:szCs w:val="20"/>
          <w:lang w:val="en-US"/>
        </w:rPr>
        <w:t xml:space="preserve"> </w:t>
      </w:r>
      <w:r w:rsidR="00D92634">
        <w:rPr>
          <w:rFonts w:eastAsiaTheme="minorEastAsia"/>
          <w:szCs w:val="20"/>
          <w:lang w:val="en-US"/>
        </w:rPr>
        <w:t>23</w:t>
      </w:r>
      <w:r w:rsidR="00DA5576" w:rsidRPr="0059317C">
        <w:rPr>
          <w:rFonts w:eastAsiaTheme="minorEastAsia"/>
          <w:szCs w:val="20"/>
          <w:lang w:val="en-US"/>
        </w:rPr>
        <w:t xml:space="preserve">, </w:t>
      </w:r>
      <w:r w:rsidR="004C3125">
        <w:rPr>
          <w:rFonts w:eastAsiaTheme="minorEastAsia"/>
          <w:szCs w:val="20"/>
          <w:lang w:val="en-US"/>
        </w:rPr>
        <w:t>p.</w:t>
      </w:r>
      <w:r w:rsidR="00DA5576" w:rsidRPr="0059317C">
        <w:rPr>
          <w:rFonts w:eastAsiaTheme="minorEastAsia"/>
          <w:szCs w:val="20"/>
          <w:lang w:val="en-US"/>
        </w:rPr>
        <w:t xml:space="preserve"> 109).   He concluded: “In its present state, McGovern’s conclusions should be treated with much skepticism and reservation.”  </w:t>
      </w:r>
      <w:r w:rsidR="00144BA8" w:rsidRPr="0059317C">
        <w:rPr>
          <w:rFonts w:eastAsiaTheme="minorEastAsia"/>
          <w:szCs w:val="20"/>
          <w:lang w:val="en-US"/>
        </w:rPr>
        <w:t xml:space="preserve">Dr. Michael Glascock, director of the Missouri lab, and his associate Dr. Hector Neff </w:t>
      </w:r>
      <w:r w:rsidR="00144BA8">
        <w:rPr>
          <w:rFonts w:eastAsiaTheme="minorEastAsia"/>
          <w:szCs w:val="20"/>
          <w:lang w:val="en-US"/>
        </w:rPr>
        <w:t xml:space="preserve">do not </w:t>
      </w:r>
      <w:r w:rsidR="00144BA8" w:rsidRPr="0059317C">
        <w:rPr>
          <w:rFonts w:eastAsiaTheme="minorEastAsia"/>
          <w:szCs w:val="20"/>
          <w:lang w:val="en-US"/>
        </w:rPr>
        <w:t>agree</w:t>
      </w:r>
      <w:r w:rsidR="00144BA8">
        <w:rPr>
          <w:rFonts w:eastAsiaTheme="minorEastAsia"/>
          <w:szCs w:val="20"/>
          <w:lang w:val="en-US"/>
        </w:rPr>
        <w:t xml:space="preserve">, nor is it likely that </w:t>
      </w:r>
      <w:r w:rsidR="00DA5576" w:rsidRPr="0059317C">
        <w:rPr>
          <w:rFonts w:eastAsiaTheme="minorEastAsia"/>
          <w:szCs w:val="20"/>
          <w:lang w:val="en-US"/>
        </w:rPr>
        <w:t xml:space="preserve">that </w:t>
      </w:r>
      <w:r w:rsidR="00FA647B" w:rsidRPr="0059317C">
        <w:rPr>
          <w:rFonts w:eastAsiaTheme="minorEastAsia"/>
          <w:szCs w:val="20"/>
          <w:lang w:val="en-US"/>
        </w:rPr>
        <w:t xml:space="preserve">Mrs. </w:t>
      </w:r>
      <w:r w:rsidR="00176AD4" w:rsidRPr="0059317C">
        <w:rPr>
          <w:rFonts w:eastAsiaTheme="minorEastAsia"/>
          <w:szCs w:val="20"/>
          <w:lang w:val="en-US"/>
        </w:rPr>
        <w:t xml:space="preserve">Joan Huntoon and </w:t>
      </w:r>
      <w:r w:rsidR="00FA647B" w:rsidRPr="0059317C">
        <w:rPr>
          <w:rFonts w:eastAsiaTheme="minorEastAsia"/>
          <w:szCs w:val="20"/>
          <w:lang w:val="en-US"/>
        </w:rPr>
        <w:t xml:space="preserve">Dr. </w:t>
      </w:r>
      <w:r w:rsidR="00DA5576" w:rsidRPr="0059317C">
        <w:rPr>
          <w:rFonts w:eastAsiaTheme="minorEastAsia"/>
          <w:szCs w:val="20"/>
          <w:lang w:val="en-US"/>
        </w:rPr>
        <w:t>Gar</w:t>
      </w:r>
      <w:r w:rsidR="00FA647B" w:rsidRPr="0059317C">
        <w:rPr>
          <w:rFonts w:eastAsiaTheme="minorEastAsia"/>
          <w:szCs w:val="20"/>
          <w:lang w:val="en-US"/>
        </w:rPr>
        <w:t>man</w:t>
      </w:r>
      <w:r w:rsidR="00DA5576" w:rsidRPr="0059317C">
        <w:rPr>
          <w:rFonts w:eastAsiaTheme="minorEastAsia"/>
          <w:szCs w:val="20"/>
          <w:lang w:val="en-US"/>
        </w:rPr>
        <w:t xml:space="preserve"> Harbottle at </w:t>
      </w:r>
      <w:r w:rsidR="00176AD4" w:rsidRPr="0059317C">
        <w:rPr>
          <w:rFonts w:eastAsiaTheme="minorEastAsia"/>
          <w:szCs w:val="20"/>
          <w:lang w:val="en-US"/>
        </w:rPr>
        <w:t xml:space="preserve">the </w:t>
      </w:r>
      <w:r w:rsidR="00DA5576" w:rsidRPr="0059317C">
        <w:rPr>
          <w:rFonts w:eastAsiaTheme="minorEastAsia"/>
          <w:szCs w:val="20"/>
          <w:lang w:val="en-US"/>
        </w:rPr>
        <w:t>Brookhaven</w:t>
      </w:r>
      <w:r w:rsidR="00176AD4" w:rsidRPr="0059317C">
        <w:rPr>
          <w:rFonts w:eastAsiaTheme="minorEastAsia"/>
          <w:szCs w:val="20"/>
          <w:lang w:val="en-US"/>
        </w:rPr>
        <w:t xml:space="preserve"> lab</w:t>
      </w:r>
      <w:r w:rsidR="00DA5576" w:rsidRPr="0059317C">
        <w:rPr>
          <w:rFonts w:eastAsiaTheme="minorEastAsia"/>
          <w:szCs w:val="20"/>
          <w:lang w:val="en-US"/>
        </w:rPr>
        <w:t xml:space="preserve">, who ran many of the Levantine and Old World samples, </w:t>
      </w:r>
      <w:r w:rsidR="00144BA8">
        <w:rPr>
          <w:rFonts w:eastAsiaTheme="minorEastAsia"/>
          <w:szCs w:val="20"/>
          <w:lang w:val="en-US"/>
        </w:rPr>
        <w:t xml:space="preserve">would if they were </w:t>
      </w:r>
      <w:r w:rsidR="00234597">
        <w:rPr>
          <w:rFonts w:eastAsiaTheme="minorEastAsia"/>
          <w:szCs w:val="20"/>
          <w:lang w:val="en-US"/>
        </w:rPr>
        <w:t xml:space="preserve">still </w:t>
      </w:r>
      <w:r w:rsidR="00144BA8">
        <w:rPr>
          <w:rFonts w:eastAsiaTheme="minorEastAsia"/>
          <w:szCs w:val="20"/>
          <w:lang w:val="en-US"/>
        </w:rPr>
        <w:t>alive.</w:t>
      </w:r>
    </w:p>
    <w:p w14:paraId="61226B21" w14:textId="77777777" w:rsidR="00637FA8" w:rsidRPr="0059317C" w:rsidRDefault="00637FA8" w:rsidP="00DA5576">
      <w:pPr>
        <w:widowControl w:val="0"/>
        <w:autoSpaceDE w:val="0"/>
        <w:autoSpaceDN w:val="0"/>
        <w:adjustRightInd w:val="0"/>
        <w:spacing w:after="0" w:line="240" w:lineRule="auto"/>
        <w:rPr>
          <w:rFonts w:eastAsia="Times New Roman"/>
          <w:szCs w:val="20"/>
          <w:lang w:val="en-US"/>
        </w:rPr>
      </w:pPr>
    </w:p>
    <w:p w14:paraId="0074AA75" w14:textId="6271773D" w:rsidR="00725DAF" w:rsidRPr="00725DAF" w:rsidRDefault="00725DAF" w:rsidP="00725DAF">
      <w:pPr>
        <w:widowControl w:val="0"/>
        <w:autoSpaceDE w:val="0"/>
        <w:autoSpaceDN w:val="0"/>
        <w:adjustRightInd w:val="0"/>
        <w:spacing w:after="0" w:line="240" w:lineRule="auto"/>
        <w:rPr>
          <w:rFonts w:eastAsia="Times New Roman"/>
          <w:b/>
          <w:szCs w:val="24"/>
          <w:lang w:val="en-US"/>
        </w:rPr>
      </w:pPr>
      <w:r>
        <w:rPr>
          <w:rFonts w:eastAsia="Times New Roman"/>
          <w:b/>
          <w:szCs w:val="24"/>
          <w:lang w:val="en-US"/>
        </w:rPr>
        <w:t>Goren’s</w:t>
      </w:r>
      <w:r w:rsidRPr="00725DAF">
        <w:rPr>
          <w:rFonts w:eastAsia="Times New Roman"/>
          <w:b/>
          <w:szCs w:val="24"/>
          <w:lang w:val="en-US"/>
        </w:rPr>
        <w:t xml:space="preserve"> </w:t>
      </w:r>
      <w:r w:rsidR="004C3125" w:rsidRPr="00725DAF">
        <w:rPr>
          <w:rFonts w:eastAsia="Times New Roman"/>
          <w:b/>
          <w:szCs w:val="24"/>
          <w:lang w:val="en-US"/>
        </w:rPr>
        <w:t>“</w:t>
      </w:r>
      <w:r w:rsidRPr="00725DAF">
        <w:rPr>
          <w:rFonts w:eastAsia="Times New Roman"/>
          <w:b/>
          <w:szCs w:val="24"/>
          <w:lang w:val="en-US"/>
        </w:rPr>
        <w:t xml:space="preserve">Petrographic Origin” </w:t>
      </w:r>
      <w:r>
        <w:rPr>
          <w:rFonts w:eastAsia="Times New Roman"/>
          <w:b/>
          <w:szCs w:val="24"/>
          <w:lang w:val="en-US"/>
        </w:rPr>
        <w:t>for</w:t>
      </w:r>
      <w:r w:rsidRPr="00725DAF">
        <w:rPr>
          <w:rFonts w:eastAsia="Times New Roman"/>
          <w:b/>
          <w:szCs w:val="24"/>
          <w:lang w:val="en-US"/>
        </w:rPr>
        <w:t xml:space="preserve"> the Scorpion I Jars</w:t>
      </w:r>
      <w:r>
        <w:rPr>
          <w:rFonts w:eastAsia="Times New Roman"/>
          <w:b/>
          <w:szCs w:val="24"/>
          <w:lang w:val="en-US"/>
        </w:rPr>
        <w:t xml:space="preserve"> from Abydos</w:t>
      </w:r>
      <w:r w:rsidRPr="00725DAF">
        <w:rPr>
          <w:rFonts w:eastAsia="Times New Roman"/>
          <w:b/>
          <w:szCs w:val="24"/>
          <w:lang w:val="en-US"/>
        </w:rPr>
        <w:t>: Caveat Emptor!</w:t>
      </w:r>
    </w:p>
    <w:p w14:paraId="16BBF956" w14:textId="77777777" w:rsidR="00725DAF" w:rsidRDefault="00725DAF" w:rsidP="00DA5576">
      <w:pPr>
        <w:widowControl w:val="0"/>
        <w:autoSpaceDE w:val="0"/>
        <w:autoSpaceDN w:val="0"/>
        <w:adjustRightInd w:val="0"/>
        <w:spacing w:after="0" w:line="240" w:lineRule="auto"/>
        <w:rPr>
          <w:rFonts w:eastAsia="Times New Roman"/>
          <w:szCs w:val="20"/>
          <w:lang w:val="en-US"/>
        </w:rPr>
      </w:pPr>
    </w:p>
    <w:p w14:paraId="44591FE0" w14:textId="5C347C4D" w:rsidR="00054FCF" w:rsidRPr="0059317C" w:rsidRDefault="008B763B" w:rsidP="00DA5576">
      <w:pPr>
        <w:widowControl w:val="0"/>
        <w:autoSpaceDE w:val="0"/>
        <w:autoSpaceDN w:val="0"/>
        <w:adjustRightInd w:val="0"/>
        <w:spacing w:after="0" w:line="240" w:lineRule="auto"/>
        <w:rPr>
          <w:rFonts w:eastAsia="Times New Roman"/>
          <w:szCs w:val="20"/>
          <w:lang w:val="en-US"/>
        </w:rPr>
      </w:pPr>
      <w:r w:rsidRPr="0059317C">
        <w:rPr>
          <w:rFonts w:eastAsia="Times New Roman"/>
          <w:szCs w:val="20"/>
          <w:lang w:val="en-US"/>
        </w:rPr>
        <w:t xml:space="preserve">Another instructive example of how Goren’s methodology can lead to </w:t>
      </w:r>
      <w:r w:rsidR="002B5DDC" w:rsidRPr="0059317C">
        <w:rPr>
          <w:rFonts w:eastAsia="Times New Roman"/>
          <w:szCs w:val="20"/>
          <w:lang w:val="en-US"/>
        </w:rPr>
        <w:t xml:space="preserve">implausible results and an unworkable hypothesis is his </w:t>
      </w:r>
      <w:r w:rsidR="00C53A71" w:rsidRPr="0059317C">
        <w:rPr>
          <w:rFonts w:eastAsia="Times New Roman"/>
          <w:szCs w:val="20"/>
          <w:lang w:val="en-US"/>
        </w:rPr>
        <w:t>and Dr. Naomi Porat’s</w:t>
      </w:r>
      <w:r w:rsidR="003C345F" w:rsidRPr="0059317C">
        <w:rPr>
          <w:rFonts w:eastAsia="Times New Roman"/>
          <w:szCs w:val="20"/>
          <w:lang w:val="en-US"/>
        </w:rPr>
        <w:t xml:space="preserve"> </w:t>
      </w:r>
      <w:r w:rsidR="0079391D" w:rsidRPr="0059317C">
        <w:rPr>
          <w:rFonts w:eastAsia="Times New Roman"/>
          <w:szCs w:val="20"/>
          <w:lang w:val="en-US"/>
        </w:rPr>
        <w:t>study of the Scorpion I wine jar</w:t>
      </w:r>
      <w:r w:rsidR="003C345F" w:rsidRPr="0059317C">
        <w:rPr>
          <w:rFonts w:eastAsia="Times New Roman"/>
          <w:szCs w:val="20"/>
          <w:lang w:val="en-US"/>
        </w:rPr>
        <w:t>s</w:t>
      </w:r>
      <w:r w:rsidR="0079391D" w:rsidRPr="0059317C">
        <w:rPr>
          <w:rFonts w:eastAsia="Times New Roman"/>
          <w:szCs w:val="20"/>
          <w:lang w:val="en-US"/>
        </w:rPr>
        <w:t xml:space="preserve"> in tomb U-j at Abydos</w:t>
      </w:r>
      <w:r w:rsidR="00D66B20" w:rsidRPr="0059317C">
        <w:rPr>
          <w:rFonts w:eastAsia="Times New Roman"/>
          <w:szCs w:val="20"/>
          <w:lang w:val="en-US"/>
        </w:rPr>
        <w:t xml:space="preserve">, </w:t>
      </w:r>
      <w:r w:rsidR="004E5D20" w:rsidRPr="0059317C">
        <w:rPr>
          <w:rFonts w:eastAsia="Times New Roman"/>
          <w:szCs w:val="20"/>
          <w:lang w:val="en-US"/>
        </w:rPr>
        <w:t xml:space="preserve">which belonged to </w:t>
      </w:r>
      <w:r w:rsidR="00D66B20" w:rsidRPr="0059317C">
        <w:rPr>
          <w:rFonts w:eastAsia="Times New Roman"/>
          <w:szCs w:val="20"/>
          <w:lang w:val="en-US"/>
        </w:rPr>
        <w:t xml:space="preserve">one of the </w:t>
      </w:r>
      <w:r w:rsidR="00510863" w:rsidRPr="0059317C">
        <w:rPr>
          <w:rFonts w:eastAsia="Times New Roman"/>
          <w:szCs w:val="20"/>
          <w:lang w:val="en-US"/>
        </w:rPr>
        <w:t>first</w:t>
      </w:r>
      <w:r w:rsidR="00D66B20" w:rsidRPr="0059317C">
        <w:rPr>
          <w:rFonts w:eastAsia="Times New Roman"/>
          <w:szCs w:val="20"/>
          <w:lang w:val="en-US"/>
        </w:rPr>
        <w:t xml:space="preserve"> kings of ancient Egypt </w:t>
      </w:r>
      <w:r w:rsidR="008053CF" w:rsidRPr="0059317C">
        <w:rPr>
          <w:rFonts w:eastAsia="Times New Roman"/>
          <w:szCs w:val="20"/>
          <w:lang w:val="en-US"/>
        </w:rPr>
        <w:t>(Dynasty 0</w:t>
      </w:r>
      <w:r w:rsidR="008053CF">
        <w:rPr>
          <w:rFonts w:eastAsia="Times New Roman"/>
          <w:szCs w:val="20"/>
          <w:lang w:val="en-US"/>
        </w:rPr>
        <w:t xml:space="preserve">) </w:t>
      </w:r>
      <w:r w:rsidR="003B697A" w:rsidRPr="0059317C">
        <w:rPr>
          <w:rFonts w:eastAsia="Times New Roman"/>
          <w:szCs w:val="20"/>
          <w:lang w:val="en-US"/>
        </w:rPr>
        <w:t>near</w:t>
      </w:r>
      <w:r w:rsidR="00D66B20" w:rsidRPr="0059317C">
        <w:rPr>
          <w:rFonts w:eastAsia="Times New Roman"/>
          <w:szCs w:val="20"/>
          <w:lang w:val="en-US"/>
        </w:rPr>
        <w:t xml:space="preserve"> the beginning of the Early Bronze Age</w:t>
      </w:r>
      <w:r w:rsidR="008053CF">
        <w:rPr>
          <w:rFonts w:eastAsia="Times New Roman"/>
          <w:szCs w:val="20"/>
          <w:lang w:val="en-US"/>
        </w:rPr>
        <w:t xml:space="preserve"> (EBA)</w:t>
      </w:r>
      <w:r w:rsidR="0079391D" w:rsidRPr="0059317C">
        <w:rPr>
          <w:rFonts w:eastAsia="Times New Roman"/>
          <w:szCs w:val="20"/>
          <w:lang w:val="en-US"/>
        </w:rPr>
        <w:t>.</w:t>
      </w:r>
      <w:r w:rsidR="0079391D" w:rsidRPr="0059317C">
        <w:rPr>
          <w:rStyle w:val="FootnoteReference"/>
          <w:rFonts w:eastAsia="Times New Roman"/>
          <w:szCs w:val="20"/>
          <w:lang w:val="en-US"/>
        </w:rPr>
        <w:footnoteReference w:id="20"/>
      </w:r>
      <w:r w:rsidR="003C345F" w:rsidRPr="0059317C">
        <w:rPr>
          <w:rFonts w:eastAsia="Times New Roman"/>
          <w:szCs w:val="20"/>
          <w:lang w:val="en-US"/>
        </w:rPr>
        <w:t xml:space="preserve">  The NAA results</w:t>
      </w:r>
      <w:r w:rsidR="003A355D" w:rsidRPr="0059317C">
        <w:rPr>
          <w:rFonts w:eastAsia="Times New Roman"/>
          <w:szCs w:val="20"/>
          <w:lang w:val="en-US"/>
        </w:rPr>
        <w:t xml:space="preserve"> for 18</w:t>
      </w:r>
      <w:r w:rsidR="00C970C2" w:rsidRPr="0059317C">
        <w:rPr>
          <w:rFonts w:eastAsia="Times New Roman"/>
          <w:szCs w:val="20"/>
          <w:lang w:val="en-US"/>
        </w:rPr>
        <w:t xml:space="preserve"> samples</w:t>
      </w:r>
      <w:r w:rsidR="00E75F91" w:rsidRPr="0059317C">
        <w:rPr>
          <w:rStyle w:val="FootnoteReference"/>
          <w:rFonts w:eastAsia="Times New Roman"/>
          <w:szCs w:val="20"/>
          <w:lang w:val="en-US"/>
        </w:rPr>
        <w:footnoteReference w:id="21"/>
      </w:r>
      <w:r w:rsidR="003C345F" w:rsidRPr="0059317C">
        <w:rPr>
          <w:rFonts w:eastAsia="Times New Roman"/>
          <w:szCs w:val="20"/>
          <w:lang w:val="en-US"/>
        </w:rPr>
        <w:t xml:space="preserve"> </w:t>
      </w:r>
      <w:r w:rsidR="00ED2AFE" w:rsidRPr="0059317C">
        <w:rPr>
          <w:rFonts w:eastAsia="Times New Roman"/>
          <w:szCs w:val="20"/>
          <w:lang w:val="en-US"/>
        </w:rPr>
        <w:t xml:space="preserve">unquestionably pointed </w:t>
      </w:r>
      <w:r w:rsidR="00C970C2" w:rsidRPr="0059317C">
        <w:rPr>
          <w:rFonts w:eastAsia="Times New Roman"/>
          <w:szCs w:val="20"/>
          <w:lang w:val="en-US"/>
        </w:rPr>
        <w:t>to</w:t>
      </w:r>
      <w:r w:rsidR="003A355D" w:rsidRPr="0059317C">
        <w:rPr>
          <w:rFonts w:eastAsia="Times New Roman"/>
          <w:szCs w:val="20"/>
          <w:lang w:val="en-US"/>
        </w:rPr>
        <w:t xml:space="preserve"> </w:t>
      </w:r>
      <w:r w:rsidR="009E1BF1" w:rsidRPr="0059317C">
        <w:rPr>
          <w:rFonts w:eastAsia="Times New Roman"/>
          <w:szCs w:val="20"/>
          <w:lang w:val="en-US"/>
        </w:rPr>
        <w:t>15 of</w:t>
      </w:r>
      <w:r w:rsidR="00EB0839" w:rsidRPr="0059317C">
        <w:rPr>
          <w:rFonts w:eastAsia="Times New Roman"/>
          <w:szCs w:val="20"/>
          <w:lang w:val="en-US"/>
        </w:rPr>
        <w:t xml:space="preserve"> </w:t>
      </w:r>
      <w:r w:rsidR="003A355D" w:rsidRPr="0059317C">
        <w:rPr>
          <w:rFonts w:eastAsia="Times New Roman"/>
          <w:szCs w:val="20"/>
          <w:lang w:val="en-US"/>
        </w:rPr>
        <w:t xml:space="preserve">the jars being made of </w:t>
      </w:r>
      <w:r w:rsidR="00EB0839" w:rsidRPr="0059317C">
        <w:rPr>
          <w:rFonts w:eastAsia="Times New Roman"/>
          <w:szCs w:val="20"/>
          <w:lang w:val="en-US"/>
        </w:rPr>
        <w:t xml:space="preserve">southern Levantine </w:t>
      </w:r>
      <w:r w:rsidR="003A355D" w:rsidRPr="0059317C">
        <w:rPr>
          <w:rFonts w:eastAsia="Times New Roman"/>
          <w:szCs w:val="20"/>
          <w:lang w:val="en-US"/>
        </w:rPr>
        <w:t xml:space="preserve">clays, centered on </w:t>
      </w:r>
      <w:r w:rsidR="00DB27AE" w:rsidRPr="0059317C">
        <w:rPr>
          <w:rFonts w:eastAsia="Times New Roman"/>
          <w:szCs w:val="20"/>
          <w:lang w:val="en-US"/>
        </w:rPr>
        <w:t>the Jordan Valley and the adjoining hill country</w:t>
      </w:r>
      <w:r w:rsidR="00B13E90" w:rsidRPr="0059317C">
        <w:rPr>
          <w:rFonts w:eastAsia="Times New Roman"/>
          <w:szCs w:val="20"/>
          <w:lang w:val="en-US"/>
        </w:rPr>
        <w:t xml:space="preserve"> plateau </w:t>
      </w:r>
      <w:r w:rsidR="00FB1FBF" w:rsidRPr="0059317C">
        <w:rPr>
          <w:rFonts w:eastAsia="Times New Roman"/>
          <w:szCs w:val="20"/>
          <w:lang w:val="en-US"/>
        </w:rPr>
        <w:t>to the east and west in</w:t>
      </w:r>
      <w:r w:rsidR="00B13E90" w:rsidRPr="0059317C">
        <w:rPr>
          <w:rFonts w:eastAsia="Times New Roman"/>
          <w:szCs w:val="20"/>
          <w:lang w:val="en-US"/>
        </w:rPr>
        <w:t xml:space="preserve"> Jordan</w:t>
      </w:r>
      <w:r w:rsidR="00FB1FBF" w:rsidRPr="0059317C">
        <w:rPr>
          <w:rFonts w:eastAsia="Times New Roman"/>
          <w:szCs w:val="20"/>
          <w:lang w:val="en-US"/>
        </w:rPr>
        <w:t xml:space="preserve"> and on West Bank.  </w:t>
      </w:r>
      <w:r w:rsidR="009E1BF1" w:rsidRPr="0059317C">
        <w:rPr>
          <w:rFonts w:eastAsia="Times New Roman"/>
          <w:szCs w:val="20"/>
          <w:lang w:val="en-US"/>
        </w:rPr>
        <w:t>Two a</w:t>
      </w:r>
      <w:r w:rsidR="00DB27AE" w:rsidRPr="0059317C">
        <w:rPr>
          <w:rFonts w:eastAsia="Times New Roman"/>
          <w:szCs w:val="20"/>
          <w:lang w:val="en-US"/>
        </w:rPr>
        <w:t xml:space="preserve">dditional </w:t>
      </w:r>
      <w:r w:rsidR="009E1BF1" w:rsidRPr="0059317C">
        <w:rPr>
          <w:rFonts w:eastAsia="Times New Roman"/>
          <w:szCs w:val="20"/>
          <w:lang w:val="en-US"/>
        </w:rPr>
        <w:t xml:space="preserve">samples </w:t>
      </w:r>
      <w:r w:rsidR="003A355D" w:rsidRPr="0059317C">
        <w:rPr>
          <w:rFonts w:eastAsia="Times New Roman"/>
          <w:szCs w:val="20"/>
          <w:lang w:val="en-US"/>
        </w:rPr>
        <w:t>possibl</w:t>
      </w:r>
      <w:r w:rsidR="009E1BF1" w:rsidRPr="0059317C">
        <w:rPr>
          <w:rFonts w:eastAsia="Times New Roman"/>
          <w:szCs w:val="20"/>
          <w:lang w:val="en-US"/>
        </w:rPr>
        <w:t>y</w:t>
      </w:r>
      <w:r w:rsidR="003A355D" w:rsidRPr="0059317C">
        <w:rPr>
          <w:rFonts w:eastAsia="Times New Roman"/>
          <w:szCs w:val="20"/>
          <w:lang w:val="en-US"/>
        </w:rPr>
        <w:t xml:space="preserve"> matche</w:t>
      </w:r>
      <w:r w:rsidR="009E1BF1" w:rsidRPr="0059317C">
        <w:rPr>
          <w:rFonts w:eastAsia="Times New Roman"/>
          <w:szCs w:val="20"/>
          <w:lang w:val="en-US"/>
        </w:rPr>
        <w:t xml:space="preserve">d clay farther south along the Rift </w:t>
      </w:r>
      <w:r w:rsidR="009E1BF1" w:rsidRPr="0059317C">
        <w:rPr>
          <w:rFonts w:eastAsia="Times New Roman"/>
          <w:szCs w:val="20"/>
          <w:lang w:val="en-US"/>
        </w:rPr>
        <w:lastRenderedPageBreak/>
        <w:t>Valley, while a third was possibly made of the loess clay of the</w:t>
      </w:r>
      <w:r w:rsidR="00C970C2" w:rsidRPr="0059317C">
        <w:rPr>
          <w:rFonts w:eastAsia="Times New Roman"/>
          <w:szCs w:val="20"/>
          <w:lang w:val="en-US"/>
        </w:rPr>
        <w:t xml:space="preserve"> Gaza region</w:t>
      </w:r>
      <w:r w:rsidR="00054FCF" w:rsidRPr="0059317C">
        <w:rPr>
          <w:rFonts w:eastAsia="Times New Roman"/>
          <w:szCs w:val="20"/>
          <w:lang w:val="en-US"/>
        </w:rPr>
        <w:t xml:space="preserve"> (i.e., Southern Palestine)</w:t>
      </w:r>
      <w:r w:rsidR="00DB27AE" w:rsidRPr="0059317C">
        <w:rPr>
          <w:rFonts w:eastAsia="Times New Roman"/>
          <w:szCs w:val="20"/>
          <w:lang w:val="en-US"/>
        </w:rPr>
        <w:t xml:space="preserve">.  </w:t>
      </w:r>
      <w:r w:rsidR="00054FCF" w:rsidRPr="0059317C">
        <w:rPr>
          <w:rFonts w:eastAsia="Times New Roman"/>
          <w:szCs w:val="20"/>
          <w:lang w:val="en-US"/>
        </w:rPr>
        <w:t>Not a single Egyptian clay was even remotely related to the Scorpion I jars, although both marl and alluvial clays from the entire country were very well-represented in the database.</w:t>
      </w:r>
    </w:p>
    <w:p w14:paraId="2A28AC3B" w14:textId="77777777" w:rsidR="008A5A77" w:rsidRPr="0059317C" w:rsidRDefault="008A5A77" w:rsidP="00DA5576">
      <w:pPr>
        <w:widowControl w:val="0"/>
        <w:autoSpaceDE w:val="0"/>
        <w:autoSpaceDN w:val="0"/>
        <w:adjustRightInd w:val="0"/>
        <w:spacing w:after="0" w:line="240" w:lineRule="auto"/>
        <w:rPr>
          <w:rFonts w:eastAsia="Times New Roman"/>
          <w:szCs w:val="20"/>
          <w:lang w:val="en-US"/>
        </w:rPr>
      </w:pPr>
    </w:p>
    <w:p w14:paraId="7564191D" w14:textId="77777777" w:rsidR="00591622" w:rsidRPr="0059317C" w:rsidRDefault="008A5A77" w:rsidP="00DA5576">
      <w:pPr>
        <w:widowControl w:val="0"/>
        <w:autoSpaceDE w:val="0"/>
        <w:autoSpaceDN w:val="0"/>
        <w:adjustRightInd w:val="0"/>
        <w:spacing w:after="0" w:line="240" w:lineRule="auto"/>
        <w:rPr>
          <w:rFonts w:eastAsia="Times New Roman"/>
          <w:szCs w:val="20"/>
          <w:lang w:val="en-US"/>
        </w:rPr>
      </w:pPr>
      <w:r w:rsidRPr="0059317C">
        <w:rPr>
          <w:rFonts w:eastAsia="Times New Roman"/>
          <w:szCs w:val="20"/>
          <w:lang w:val="en-US"/>
        </w:rPr>
        <w:t>The southern Levantine origin of the jars in Scorpion I’s was in good agreement with other findings, which provided collaborative e</w:t>
      </w:r>
      <w:r w:rsidR="000208F7" w:rsidRPr="0059317C">
        <w:rPr>
          <w:rFonts w:eastAsia="Times New Roman"/>
          <w:szCs w:val="20"/>
          <w:lang w:val="en-US"/>
        </w:rPr>
        <w:t>vidence that the NAA results were correct.  Organic residue analysis showed that the jars had originally contained a res</w:t>
      </w:r>
      <w:r w:rsidR="00CF5A4B" w:rsidRPr="0059317C">
        <w:rPr>
          <w:rFonts w:eastAsia="Times New Roman"/>
          <w:szCs w:val="20"/>
          <w:lang w:val="en-US"/>
        </w:rPr>
        <w:t>i</w:t>
      </w:r>
      <w:r w:rsidR="000208F7" w:rsidRPr="0059317C">
        <w:rPr>
          <w:rFonts w:eastAsia="Times New Roman"/>
          <w:szCs w:val="20"/>
          <w:lang w:val="en-US"/>
        </w:rPr>
        <w:t>nated grape wine,</w:t>
      </w:r>
      <w:r w:rsidR="00E87CD1" w:rsidRPr="0059317C">
        <w:rPr>
          <w:rStyle w:val="FootnoteReference"/>
          <w:rFonts w:eastAsia="Times New Roman"/>
          <w:szCs w:val="20"/>
          <w:lang w:val="en-US"/>
        </w:rPr>
        <w:footnoteReference w:id="22"/>
      </w:r>
      <w:r w:rsidR="000208F7" w:rsidRPr="0059317C">
        <w:rPr>
          <w:rFonts w:eastAsia="Times New Roman"/>
          <w:szCs w:val="20"/>
          <w:lang w:val="en-US"/>
        </w:rPr>
        <w:t xml:space="preserve"> which had been </w:t>
      </w:r>
      <w:r w:rsidR="007741D6" w:rsidRPr="0059317C">
        <w:rPr>
          <w:rFonts w:eastAsia="Times New Roman"/>
          <w:szCs w:val="20"/>
          <w:lang w:val="en-US"/>
        </w:rPr>
        <w:t xml:space="preserve">liberally infused with </w:t>
      </w:r>
      <w:r w:rsidR="00CF280B" w:rsidRPr="0059317C">
        <w:rPr>
          <w:rFonts w:eastAsia="Times New Roman"/>
          <w:szCs w:val="20"/>
          <w:lang w:val="en-US"/>
        </w:rPr>
        <w:t xml:space="preserve">southern </w:t>
      </w:r>
      <w:r w:rsidR="007741D6" w:rsidRPr="0059317C">
        <w:rPr>
          <w:rFonts w:eastAsia="Times New Roman"/>
          <w:szCs w:val="20"/>
          <w:lang w:val="en-US"/>
        </w:rPr>
        <w:t>Levantine herbs</w:t>
      </w:r>
      <w:r w:rsidR="00CF280B" w:rsidRPr="0059317C">
        <w:rPr>
          <w:rFonts w:eastAsia="Times New Roman"/>
          <w:szCs w:val="20"/>
          <w:lang w:val="en-US"/>
        </w:rPr>
        <w:t xml:space="preserve"> (balm, senna, coriander, germander, mint, sage, and/or thyme) that</w:t>
      </w:r>
      <w:r w:rsidR="007741D6" w:rsidRPr="0059317C">
        <w:rPr>
          <w:rFonts w:eastAsia="Times New Roman"/>
          <w:szCs w:val="20"/>
          <w:lang w:val="en-US"/>
        </w:rPr>
        <w:t xml:space="preserve"> </w:t>
      </w:r>
      <w:r w:rsidR="00D66B20" w:rsidRPr="0059317C">
        <w:rPr>
          <w:rFonts w:eastAsia="Times New Roman"/>
          <w:szCs w:val="20"/>
          <w:lang w:val="en-US"/>
        </w:rPr>
        <w:t>did not</w:t>
      </w:r>
      <w:r w:rsidR="007741D6" w:rsidRPr="0059317C">
        <w:rPr>
          <w:rFonts w:eastAsia="Times New Roman"/>
          <w:szCs w:val="20"/>
          <w:lang w:val="en-US"/>
        </w:rPr>
        <w:t xml:space="preserve"> grow in Egypt</w:t>
      </w:r>
      <w:r w:rsidR="0099175F" w:rsidRPr="0059317C">
        <w:rPr>
          <w:rFonts w:eastAsia="Times New Roman"/>
          <w:szCs w:val="20"/>
          <w:lang w:val="en-US"/>
        </w:rPr>
        <w:t xml:space="preserve"> </w:t>
      </w:r>
      <w:r w:rsidR="007741D6" w:rsidRPr="0059317C">
        <w:rPr>
          <w:rFonts w:eastAsia="Times New Roman"/>
          <w:szCs w:val="20"/>
          <w:lang w:val="en-US"/>
        </w:rPr>
        <w:t>(</w:t>
      </w:r>
      <w:r w:rsidR="00CF280B" w:rsidRPr="0059317C">
        <w:rPr>
          <w:rFonts w:eastAsia="Times New Roman"/>
          <w:szCs w:val="20"/>
          <w:lang w:val="en-US"/>
        </w:rPr>
        <w:t xml:space="preserve">except possibly </w:t>
      </w:r>
      <w:r w:rsidR="00D667D3" w:rsidRPr="0059317C">
        <w:rPr>
          <w:rFonts w:eastAsia="Times New Roman"/>
          <w:szCs w:val="20"/>
          <w:lang w:val="en-US"/>
        </w:rPr>
        <w:t>senna</w:t>
      </w:r>
      <w:r w:rsidR="00CF280B" w:rsidRPr="0059317C">
        <w:rPr>
          <w:rFonts w:eastAsia="Times New Roman"/>
          <w:szCs w:val="20"/>
          <w:lang w:val="en-US"/>
        </w:rPr>
        <w:t xml:space="preserve"> and </w:t>
      </w:r>
      <w:r w:rsidR="00D667D3" w:rsidRPr="0059317C">
        <w:rPr>
          <w:rFonts w:eastAsia="Times New Roman"/>
          <w:szCs w:val="20"/>
          <w:lang w:val="en-US"/>
        </w:rPr>
        <w:t>sage)</w:t>
      </w:r>
      <w:r w:rsidR="00CF5A4B" w:rsidRPr="0059317C">
        <w:rPr>
          <w:rFonts w:eastAsia="Times New Roman"/>
          <w:szCs w:val="20"/>
          <w:lang w:val="en-US"/>
        </w:rPr>
        <w:t>.</w:t>
      </w:r>
      <w:r w:rsidR="00CF5A4B" w:rsidRPr="0059317C">
        <w:rPr>
          <w:rStyle w:val="FootnoteReference"/>
          <w:rFonts w:eastAsia="Times New Roman"/>
          <w:szCs w:val="20"/>
          <w:lang w:val="en-US"/>
        </w:rPr>
        <w:footnoteReference w:id="23"/>
      </w:r>
      <w:r w:rsidR="00D66B20" w:rsidRPr="0059317C">
        <w:rPr>
          <w:rFonts w:eastAsia="Times New Roman"/>
          <w:szCs w:val="20"/>
          <w:lang w:val="en-US"/>
        </w:rPr>
        <w:t xml:space="preserve">  </w:t>
      </w:r>
    </w:p>
    <w:p w14:paraId="1C246AE5" w14:textId="77777777" w:rsidR="00591622" w:rsidRPr="0059317C" w:rsidRDefault="00591622" w:rsidP="00DA5576">
      <w:pPr>
        <w:widowControl w:val="0"/>
        <w:autoSpaceDE w:val="0"/>
        <w:autoSpaceDN w:val="0"/>
        <w:adjustRightInd w:val="0"/>
        <w:spacing w:after="0" w:line="240" w:lineRule="auto"/>
        <w:rPr>
          <w:rFonts w:eastAsia="Times New Roman"/>
          <w:szCs w:val="20"/>
          <w:lang w:val="en-US"/>
        </w:rPr>
      </w:pPr>
    </w:p>
    <w:p w14:paraId="3C258252" w14:textId="32CDE840" w:rsidR="003E2EB7" w:rsidRPr="0059317C" w:rsidRDefault="00D66B20" w:rsidP="00DA5576">
      <w:pPr>
        <w:widowControl w:val="0"/>
        <w:autoSpaceDE w:val="0"/>
        <w:autoSpaceDN w:val="0"/>
        <w:adjustRightInd w:val="0"/>
        <w:spacing w:after="0" w:line="240" w:lineRule="auto"/>
        <w:rPr>
          <w:rFonts w:eastAsia="Times New Roman"/>
          <w:szCs w:val="20"/>
          <w:lang w:val="en-US"/>
        </w:rPr>
      </w:pPr>
      <w:r w:rsidRPr="0059317C">
        <w:rPr>
          <w:rFonts w:eastAsia="Times New Roman"/>
          <w:szCs w:val="20"/>
          <w:lang w:val="en-US"/>
        </w:rPr>
        <w:t>Most tellingly, neither the wild nor the domesticated Eurasian grape (</w:t>
      </w:r>
      <w:r w:rsidRPr="0059317C">
        <w:rPr>
          <w:rFonts w:eastAsia="Times New Roman"/>
          <w:i/>
          <w:szCs w:val="20"/>
          <w:lang w:val="en-US"/>
        </w:rPr>
        <w:t>Vitis vinifera</w:t>
      </w:r>
      <w:r w:rsidRPr="0059317C">
        <w:rPr>
          <w:rFonts w:eastAsia="Times New Roman"/>
          <w:szCs w:val="20"/>
          <w:lang w:val="en-US"/>
        </w:rPr>
        <w:t>) gr</w:t>
      </w:r>
      <w:r w:rsidR="00643338" w:rsidRPr="0059317C">
        <w:rPr>
          <w:rFonts w:eastAsia="Times New Roman"/>
          <w:szCs w:val="20"/>
          <w:lang w:val="en-US"/>
        </w:rPr>
        <w:t>e</w:t>
      </w:r>
      <w:r w:rsidRPr="0059317C">
        <w:rPr>
          <w:rFonts w:eastAsia="Times New Roman"/>
          <w:szCs w:val="20"/>
          <w:lang w:val="en-US"/>
        </w:rPr>
        <w:t>w in Egypt at this early period</w:t>
      </w:r>
      <w:r w:rsidR="00643338" w:rsidRPr="0059317C">
        <w:rPr>
          <w:rFonts w:eastAsia="Times New Roman"/>
          <w:szCs w:val="20"/>
          <w:lang w:val="en-US"/>
        </w:rPr>
        <w:t>.</w:t>
      </w:r>
      <w:r w:rsidR="00643338" w:rsidRPr="0059317C">
        <w:rPr>
          <w:rStyle w:val="FootnoteReference"/>
          <w:rFonts w:eastAsia="Times New Roman"/>
          <w:szCs w:val="20"/>
          <w:lang w:val="en-US"/>
        </w:rPr>
        <w:footnoteReference w:id="24"/>
      </w:r>
      <w:r w:rsidR="00643338" w:rsidRPr="0059317C">
        <w:rPr>
          <w:rFonts w:eastAsia="Times New Roman"/>
          <w:szCs w:val="20"/>
          <w:lang w:val="en-US"/>
        </w:rPr>
        <w:t xml:space="preserve">  Any wine </w:t>
      </w:r>
      <w:r w:rsidR="00CF280B" w:rsidRPr="0059317C">
        <w:rPr>
          <w:rFonts w:eastAsia="Times New Roman"/>
          <w:szCs w:val="20"/>
          <w:lang w:val="en-US"/>
        </w:rPr>
        <w:t xml:space="preserve">therefore </w:t>
      </w:r>
      <w:r w:rsidR="00643338" w:rsidRPr="0059317C">
        <w:rPr>
          <w:rFonts w:eastAsia="Times New Roman"/>
          <w:szCs w:val="20"/>
          <w:lang w:val="en-US"/>
        </w:rPr>
        <w:t>had to have been imported from abroad</w:t>
      </w:r>
      <w:r w:rsidR="00CF280B" w:rsidRPr="0059317C">
        <w:rPr>
          <w:rFonts w:eastAsia="Times New Roman"/>
          <w:szCs w:val="20"/>
          <w:lang w:val="en-US"/>
        </w:rPr>
        <w:t>, a</w:t>
      </w:r>
      <w:r w:rsidR="00643338" w:rsidRPr="0059317C">
        <w:rPr>
          <w:rFonts w:eastAsia="Times New Roman"/>
          <w:szCs w:val="20"/>
          <w:lang w:val="en-US"/>
        </w:rPr>
        <w:t>nd</w:t>
      </w:r>
      <w:r w:rsidR="000827BB" w:rsidRPr="0059317C">
        <w:rPr>
          <w:rFonts w:eastAsia="Times New Roman"/>
          <w:szCs w:val="20"/>
          <w:lang w:val="en-US"/>
        </w:rPr>
        <w:t>,</w:t>
      </w:r>
      <w:r w:rsidR="00643338" w:rsidRPr="0059317C">
        <w:rPr>
          <w:rFonts w:eastAsia="Times New Roman"/>
          <w:szCs w:val="20"/>
          <w:lang w:val="en-US"/>
        </w:rPr>
        <w:t xml:space="preserve"> in keeping with Occam’s razor and common sense, the southern Levant was the </w:t>
      </w:r>
      <w:r w:rsidR="00CF280B" w:rsidRPr="0059317C">
        <w:rPr>
          <w:rFonts w:eastAsia="Times New Roman"/>
          <w:szCs w:val="20"/>
          <w:lang w:val="en-US"/>
        </w:rPr>
        <w:t xml:space="preserve">nearest and </w:t>
      </w:r>
      <w:r w:rsidR="00643338" w:rsidRPr="0059317C">
        <w:rPr>
          <w:rFonts w:eastAsia="Times New Roman"/>
          <w:szCs w:val="20"/>
          <w:lang w:val="en-US"/>
        </w:rPr>
        <w:t>most likely</w:t>
      </w:r>
      <w:r w:rsidR="00CF280B" w:rsidRPr="0059317C">
        <w:rPr>
          <w:rFonts w:eastAsia="Times New Roman"/>
          <w:szCs w:val="20"/>
          <w:lang w:val="en-US"/>
        </w:rPr>
        <w:t xml:space="preserve"> possibility. </w:t>
      </w:r>
      <w:r w:rsidR="00836770" w:rsidRPr="0059317C">
        <w:rPr>
          <w:rFonts w:eastAsia="Times New Roman"/>
          <w:szCs w:val="20"/>
          <w:lang w:val="en-US"/>
        </w:rPr>
        <w:t xml:space="preserve"> According to archaeobotanical findings at sites in the Jordan Valley, a wine industry had been established there as early as ca. 4000 B.C.</w:t>
      </w:r>
      <w:r w:rsidR="00317703" w:rsidRPr="0059317C">
        <w:rPr>
          <w:rFonts w:eastAsia="Times New Roman"/>
          <w:szCs w:val="20"/>
          <w:lang w:val="en-US"/>
        </w:rPr>
        <w:t>,</w:t>
      </w:r>
      <w:r w:rsidR="009F26F1" w:rsidRPr="0059317C">
        <w:rPr>
          <w:rFonts w:eastAsia="Times New Roman"/>
          <w:szCs w:val="20"/>
          <w:lang w:val="en-US"/>
        </w:rPr>
        <w:t xml:space="preserve"> and l</w:t>
      </w:r>
      <w:r w:rsidR="00836770" w:rsidRPr="0059317C">
        <w:rPr>
          <w:rFonts w:eastAsia="Times New Roman"/>
          <w:szCs w:val="20"/>
          <w:lang w:val="en-US"/>
        </w:rPr>
        <w:t>arge-scale production</w:t>
      </w:r>
      <w:r w:rsidR="000B1214" w:rsidRPr="0059317C">
        <w:rPr>
          <w:rFonts w:eastAsia="Times New Roman"/>
          <w:szCs w:val="20"/>
          <w:lang w:val="en-US"/>
        </w:rPr>
        <w:t xml:space="preserve"> is attested</w:t>
      </w:r>
      <w:r w:rsidR="00836770" w:rsidRPr="0059317C">
        <w:rPr>
          <w:rFonts w:eastAsia="Times New Roman"/>
          <w:szCs w:val="20"/>
          <w:lang w:val="en-US"/>
        </w:rPr>
        <w:t xml:space="preserve"> </w:t>
      </w:r>
      <w:r w:rsidR="000B1214" w:rsidRPr="0059317C">
        <w:rPr>
          <w:rFonts w:eastAsia="Times New Roman"/>
          <w:szCs w:val="20"/>
          <w:lang w:val="en-US"/>
        </w:rPr>
        <w:t>in</w:t>
      </w:r>
      <w:r w:rsidR="00C527ED" w:rsidRPr="0059317C">
        <w:rPr>
          <w:rFonts w:eastAsia="Times New Roman"/>
          <w:szCs w:val="20"/>
          <w:lang w:val="en-US"/>
        </w:rPr>
        <w:t xml:space="preserve"> </w:t>
      </w:r>
      <w:r w:rsidR="00C527ED" w:rsidRPr="0059317C">
        <w:rPr>
          <w:rFonts w:eastAsia="Times New Roman"/>
          <w:szCs w:val="20"/>
          <w:lang w:val="en-US"/>
        </w:rPr>
        <w:lastRenderedPageBreak/>
        <w:t>the</w:t>
      </w:r>
      <w:r w:rsidR="009F26F1" w:rsidRPr="0059317C">
        <w:rPr>
          <w:rFonts w:eastAsia="Times New Roman"/>
          <w:szCs w:val="20"/>
          <w:lang w:val="en-US"/>
        </w:rPr>
        <w:t xml:space="preserve"> </w:t>
      </w:r>
      <w:r w:rsidR="00516D8D">
        <w:rPr>
          <w:rFonts w:eastAsia="Times New Roman"/>
          <w:szCs w:val="20"/>
          <w:lang w:val="en-US"/>
        </w:rPr>
        <w:t>EBA</w:t>
      </w:r>
      <w:r w:rsidR="00C527ED" w:rsidRPr="0059317C">
        <w:rPr>
          <w:rFonts w:eastAsia="Times New Roman"/>
          <w:szCs w:val="20"/>
          <w:lang w:val="en-US"/>
        </w:rPr>
        <w:t xml:space="preserve"> </w:t>
      </w:r>
      <w:r w:rsidR="00E632C3" w:rsidRPr="0059317C">
        <w:rPr>
          <w:rFonts w:eastAsia="Times New Roman"/>
          <w:szCs w:val="20"/>
          <w:lang w:val="en-US"/>
        </w:rPr>
        <w:t xml:space="preserve">at sites along the </w:t>
      </w:r>
      <w:r w:rsidR="00AA57AD" w:rsidRPr="0059317C">
        <w:rPr>
          <w:rFonts w:eastAsia="Times New Roman"/>
          <w:szCs w:val="20"/>
          <w:lang w:val="en-US"/>
        </w:rPr>
        <w:t xml:space="preserve">Transjordanian eastern side of the </w:t>
      </w:r>
      <w:r w:rsidR="00E632C3" w:rsidRPr="0059317C">
        <w:rPr>
          <w:rFonts w:eastAsia="Times New Roman"/>
          <w:szCs w:val="20"/>
          <w:lang w:val="en-US"/>
        </w:rPr>
        <w:t>Dead Sea</w:t>
      </w:r>
      <w:r w:rsidR="004D155D" w:rsidRPr="0059317C">
        <w:rPr>
          <w:rFonts w:eastAsia="Times New Roman"/>
          <w:szCs w:val="20"/>
          <w:lang w:val="en-US"/>
        </w:rPr>
        <w:t>.</w:t>
      </w:r>
      <w:r w:rsidR="00BD6ABA" w:rsidRPr="0059317C">
        <w:rPr>
          <w:rStyle w:val="FootnoteReference"/>
          <w:rFonts w:eastAsia="Times New Roman"/>
          <w:szCs w:val="20"/>
          <w:lang w:val="en-US"/>
        </w:rPr>
        <w:footnoteReference w:id="25"/>
      </w:r>
      <w:r w:rsidR="004D155D" w:rsidRPr="0059317C">
        <w:rPr>
          <w:rFonts w:eastAsia="Times New Roman"/>
          <w:szCs w:val="20"/>
          <w:lang w:val="en-US"/>
        </w:rPr>
        <w:t xml:space="preserve">  </w:t>
      </w:r>
      <w:r w:rsidR="00AA57AD" w:rsidRPr="0059317C">
        <w:rPr>
          <w:rFonts w:eastAsia="Times New Roman"/>
          <w:szCs w:val="20"/>
          <w:lang w:val="en-US"/>
        </w:rPr>
        <w:t xml:space="preserve">A special peculiarity of the wine </w:t>
      </w:r>
      <w:r w:rsidR="005B124F" w:rsidRPr="0059317C">
        <w:rPr>
          <w:rFonts w:eastAsia="Times New Roman"/>
          <w:szCs w:val="20"/>
          <w:lang w:val="en-US"/>
        </w:rPr>
        <w:t>in the Scorpion I jars was that 11 of them uniquely contained sliced and perforated f</w:t>
      </w:r>
      <w:r w:rsidR="004D155D" w:rsidRPr="0059317C">
        <w:rPr>
          <w:rFonts w:eastAsia="Times New Roman"/>
          <w:szCs w:val="20"/>
          <w:lang w:val="en-US"/>
        </w:rPr>
        <w:t>igs</w:t>
      </w:r>
      <w:r w:rsidR="005B124F" w:rsidRPr="0059317C">
        <w:rPr>
          <w:rFonts w:eastAsia="Times New Roman"/>
          <w:szCs w:val="20"/>
          <w:lang w:val="en-US"/>
        </w:rPr>
        <w:t xml:space="preserve">, and figs were especially prominent in the </w:t>
      </w:r>
      <w:r w:rsidR="003E2EB7" w:rsidRPr="0059317C">
        <w:rPr>
          <w:rFonts w:eastAsia="Times New Roman"/>
          <w:szCs w:val="20"/>
          <w:lang w:val="en-US"/>
        </w:rPr>
        <w:t xml:space="preserve">botanical </w:t>
      </w:r>
      <w:r w:rsidR="005B124F" w:rsidRPr="0059317C">
        <w:rPr>
          <w:rFonts w:eastAsia="Times New Roman"/>
          <w:szCs w:val="20"/>
          <w:lang w:val="en-US"/>
        </w:rPr>
        <w:t>assemblages at the Dead Sea sites.</w:t>
      </w:r>
    </w:p>
    <w:p w14:paraId="0605674C" w14:textId="77777777" w:rsidR="00F84398" w:rsidRPr="0059317C" w:rsidRDefault="00F84398" w:rsidP="00DA5576">
      <w:pPr>
        <w:widowControl w:val="0"/>
        <w:autoSpaceDE w:val="0"/>
        <w:autoSpaceDN w:val="0"/>
        <w:adjustRightInd w:val="0"/>
        <w:spacing w:after="0" w:line="240" w:lineRule="auto"/>
        <w:rPr>
          <w:rFonts w:eastAsia="Times New Roman"/>
          <w:szCs w:val="20"/>
          <w:lang w:val="en-US"/>
        </w:rPr>
      </w:pPr>
    </w:p>
    <w:p w14:paraId="18588A7B" w14:textId="2053AE00" w:rsidR="00F84398" w:rsidRPr="0059317C" w:rsidRDefault="00F84398" w:rsidP="00DA5576">
      <w:pPr>
        <w:widowControl w:val="0"/>
        <w:autoSpaceDE w:val="0"/>
        <w:autoSpaceDN w:val="0"/>
        <w:adjustRightInd w:val="0"/>
        <w:spacing w:after="0" w:line="240" w:lineRule="auto"/>
        <w:rPr>
          <w:rFonts w:eastAsia="Times New Roman"/>
          <w:szCs w:val="20"/>
          <w:lang w:val="en-US"/>
        </w:rPr>
      </w:pPr>
      <w:r w:rsidRPr="0059317C">
        <w:rPr>
          <w:rFonts w:eastAsia="Times New Roman"/>
          <w:szCs w:val="20"/>
          <w:lang w:val="en-US"/>
        </w:rPr>
        <w:t xml:space="preserve">Only several hundred years later did the Egyptians initiate their own wine industry in the Nile Delta, probably under the tutelage of Levantine peoples, later </w:t>
      </w:r>
      <w:r w:rsidR="00BA1DB6" w:rsidRPr="0059317C">
        <w:rPr>
          <w:rFonts w:eastAsia="Times New Roman"/>
          <w:szCs w:val="20"/>
          <w:lang w:val="en-US"/>
        </w:rPr>
        <w:t>denoted as the Canaanites. One might again argue for a two-</w:t>
      </w:r>
      <w:r w:rsidR="00515E39">
        <w:rPr>
          <w:rFonts w:eastAsia="Times New Roman"/>
          <w:szCs w:val="20"/>
          <w:lang w:val="en-US"/>
        </w:rPr>
        <w:t>stage</w:t>
      </w:r>
      <w:r w:rsidR="00BA1DB6" w:rsidRPr="0059317C">
        <w:rPr>
          <w:rFonts w:eastAsia="Times New Roman"/>
          <w:szCs w:val="20"/>
          <w:lang w:val="en-US"/>
        </w:rPr>
        <w:t xml:space="preserve"> process in the transfer of </w:t>
      </w:r>
      <w:r w:rsidR="007364D7" w:rsidRPr="0059317C">
        <w:rPr>
          <w:rFonts w:eastAsia="Times New Roman"/>
          <w:szCs w:val="20"/>
          <w:lang w:val="en-US"/>
        </w:rPr>
        <w:t xml:space="preserve">the </w:t>
      </w:r>
      <w:r w:rsidR="00BA1DB6" w:rsidRPr="0059317C">
        <w:rPr>
          <w:rFonts w:eastAsia="Times New Roman"/>
          <w:szCs w:val="20"/>
          <w:lang w:val="en-US"/>
        </w:rPr>
        <w:t>wine industry</w:t>
      </w:r>
      <w:r w:rsidR="007364D7" w:rsidRPr="0059317C">
        <w:rPr>
          <w:rFonts w:eastAsia="Times New Roman"/>
          <w:szCs w:val="20"/>
          <w:lang w:val="en-US"/>
        </w:rPr>
        <w:t xml:space="preserve"> from the Levant to Egypt, albeit over a millennium</w:t>
      </w:r>
      <w:r w:rsidR="00BA1DB6" w:rsidRPr="0059317C">
        <w:rPr>
          <w:rFonts w:eastAsia="Times New Roman"/>
          <w:szCs w:val="20"/>
          <w:lang w:val="en-US"/>
        </w:rPr>
        <w:t xml:space="preserve"> </w:t>
      </w:r>
      <w:r w:rsidR="007C7C83">
        <w:rPr>
          <w:rFonts w:eastAsia="Times New Roman"/>
          <w:szCs w:val="20"/>
          <w:lang w:val="en-US"/>
        </w:rPr>
        <w:t>earli</w:t>
      </w:r>
      <w:r w:rsidR="007C7C83" w:rsidRPr="0059317C">
        <w:rPr>
          <w:rFonts w:eastAsia="Times New Roman"/>
          <w:szCs w:val="20"/>
          <w:lang w:val="en-US"/>
        </w:rPr>
        <w:t xml:space="preserve">er </w:t>
      </w:r>
      <w:r w:rsidR="007364D7" w:rsidRPr="0059317C">
        <w:rPr>
          <w:rFonts w:eastAsia="Times New Roman"/>
          <w:szCs w:val="20"/>
          <w:lang w:val="en-US"/>
        </w:rPr>
        <w:t>than the Hyksos phenomenon</w:t>
      </w:r>
      <w:r w:rsidR="004A5026" w:rsidRPr="0059317C">
        <w:rPr>
          <w:rFonts w:eastAsia="Times New Roman"/>
          <w:szCs w:val="20"/>
          <w:lang w:val="en-US"/>
        </w:rPr>
        <w:t>.  F</w:t>
      </w:r>
      <w:r w:rsidR="00BA1DB6" w:rsidRPr="0059317C">
        <w:rPr>
          <w:rFonts w:eastAsia="Times New Roman"/>
          <w:szCs w:val="20"/>
          <w:lang w:val="en-US"/>
        </w:rPr>
        <w:t>irst</w:t>
      </w:r>
      <w:r w:rsidR="004A5026" w:rsidRPr="0059317C">
        <w:rPr>
          <w:rFonts w:eastAsia="Times New Roman"/>
          <w:szCs w:val="20"/>
          <w:lang w:val="en-US"/>
        </w:rPr>
        <w:t>,</w:t>
      </w:r>
      <w:r w:rsidR="00BA1DB6" w:rsidRPr="0059317C">
        <w:rPr>
          <w:rFonts w:eastAsia="Times New Roman"/>
          <w:szCs w:val="20"/>
          <w:lang w:val="en-US"/>
        </w:rPr>
        <w:t xml:space="preserve"> the domesticated grape and </w:t>
      </w:r>
      <w:r w:rsidR="004A5026" w:rsidRPr="0059317C">
        <w:rPr>
          <w:rFonts w:eastAsia="Times New Roman"/>
          <w:szCs w:val="20"/>
          <w:lang w:val="en-US"/>
        </w:rPr>
        <w:t>vinicultural expertise</w:t>
      </w:r>
      <w:r w:rsidR="00BA1DB6" w:rsidRPr="0059317C">
        <w:rPr>
          <w:rFonts w:eastAsia="Times New Roman"/>
          <w:szCs w:val="20"/>
          <w:lang w:val="en-US"/>
        </w:rPr>
        <w:t xml:space="preserve"> were transferred from fa</w:t>
      </w:r>
      <w:r w:rsidR="00356C82" w:rsidRPr="0059317C">
        <w:rPr>
          <w:rFonts w:eastAsia="Times New Roman"/>
          <w:szCs w:val="20"/>
          <w:lang w:val="en-US"/>
        </w:rPr>
        <w:t>r</w:t>
      </w:r>
      <w:r w:rsidR="00BA1DB6" w:rsidRPr="0059317C">
        <w:rPr>
          <w:rFonts w:eastAsia="Times New Roman"/>
          <w:szCs w:val="20"/>
          <w:lang w:val="en-US"/>
        </w:rPr>
        <w:t>ther north in the mountainous Levant, where the earliest evidence of winemaking is ca. 6000 B.C.,</w:t>
      </w:r>
      <w:r w:rsidR="006B3CDE" w:rsidRPr="0059317C">
        <w:rPr>
          <w:rStyle w:val="FootnoteReference"/>
          <w:rFonts w:eastAsia="Times New Roman"/>
          <w:szCs w:val="20"/>
          <w:lang w:val="en-US"/>
        </w:rPr>
        <w:footnoteReference w:id="26"/>
      </w:r>
      <w:r w:rsidR="00BA1DB6" w:rsidRPr="0059317C">
        <w:rPr>
          <w:rFonts w:eastAsia="Times New Roman"/>
          <w:szCs w:val="20"/>
          <w:lang w:val="en-US"/>
        </w:rPr>
        <w:t xml:space="preserve"> to the Jordan Valley</w:t>
      </w:r>
      <w:r w:rsidR="004A5026" w:rsidRPr="0059317C">
        <w:rPr>
          <w:rFonts w:eastAsia="Times New Roman"/>
          <w:szCs w:val="20"/>
          <w:lang w:val="en-US"/>
        </w:rPr>
        <w:t xml:space="preserve"> and environs </w:t>
      </w:r>
      <w:r w:rsidR="006B3CDE" w:rsidRPr="0059317C">
        <w:rPr>
          <w:rFonts w:eastAsia="Times New Roman"/>
          <w:szCs w:val="20"/>
          <w:lang w:val="en-US"/>
        </w:rPr>
        <w:t>several thousand years later</w:t>
      </w:r>
      <w:r w:rsidR="004A5026" w:rsidRPr="0059317C">
        <w:rPr>
          <w:rFonts w:eastAsia="Times New Roman"/>
          <w:szCs w:val="20"/>
          <w:lang w:val="en-US"/>
        </w:rPr>
        <w:t xml:space="preserve">.  In the second phase, the grape domesticated and necessary technology for winemaking </w:t>
      </w:r>
      <w:r w:rsidR="00C639B9" w:rsidRPr="0059317C">
        <w:rPr>
          <w:rFonts w:eastAsia="Times New Roman"/>
          <w:szCs w:val="20"/>
          <w:lang w:val="en-US"/>
        </w:rPr>
        <w:t>were introduced</w:t>
      </w:r>
      <w:r w:rsidR="004A5026" w:rsidRPr="0059317C">
        <w:rPr>
          <w:rFonts w:eastAsia="Times New Roman"/>
          <w:szCs w:val="20"/>
          <w:lang w:val="en-US"/>
        </w:rPr>
        <w:t xml:space="preserve"> </w:t>
      </w:r>
      <w:r w:rsidR="00C639B9" w:rsidRPr="0059317C">
        <w:rPr>
          <w:rFonts w:eastAsia="Times New Roman"/>
          <w:szCs w:val="20"/>
          <w:lang w:val="en-US"/>
        </w:rPr>
        <w:t>in</w:t>
      </w:r>
      <w:r w:rsidR="004A5026" w:rsidRPr="0059317C">
        <w:rPr>
          <w:rFonts w:eastAsia="Times New Roman"/>
          <w:szCs w:val="20"/>
          <w:lang w:val="en-US"/>
        </w:rPr>
        <w:t xml:space="preserve">to Egypt </w:t>
      </w:r>
      <w:r w:rsidR="006B3CDE" w:rsidRPr="0059317C">
        <w:rPr>
          <w:rFonts w:eastAsia="Times New Roman"/>
          <w:szCs w:val="20"/>
          <w:lang w:val="en-US"/>
        </w:rPr>
        <w:t>after approximately another thousand years</w:t>
      </w:r>
      <w:r w:rsidR="00516D8D">
        <w:rPr>
          <w:rFonts w:eastAsia="Times New Roman"/>
          <w:szCs w:val="20"/>
          <w:lang w:val="en-US"/>
        </w:rPr>
        <w:t>, ca. 3000 B.C</w:t>
      </w:r>
      <w:r w:rsidR="006B3CDE" w:rsidRPr="0059317C">
        <w:rPr>
          <w:rFonts w:eastAsia="Times New Roman"/>
          <w:szCs w:val="20"/>
          <w:lang w:val="en-US"/>
        </w:rPr>
        <w:t>.</w:t>
      </w:r>
      <w:r w:rsidR="00BA1DB6" w:rsidRPr="0059317C">
        <w:rPr>
          <w:rFonts w:eastAsia="Times New Roman"/>
          <w:szCs w:val="20"/>
          <w:lang w:val="en-US"/>
        </w:rPr>
        <w:t xml:space="preserve"> </w:t>
      </w:r>
      <w:r w:rsidR="00C639B9" w:rsidRPr="0059317C">
        <w:rPr>
          <w:rFonts w:eastAsia="Times New Roman"/>
          <w:szCs w:val="20"/>
          <w:lang w:val="en-US"/>
        </w:rPr>
        <w:t xml:space="preserve"> </w:t>
      </w:r>
    </w:p>
    <w:p w14:paraId="17C5492F" w14:textId="77777777" w:rsidR="003E2EB7" w:rsidRPr="0059317C" w:rsidRDefault="003E2EB7" w:rsidP="00DA5576">
      <w:pPr>
        <w:widowControl w:val="0"/>
        <w:autoSpaceDE w:val="0"/>
        <w:autoSpaceDN w:val="0"/>
        <w:adjustRightInd w:val="0"/>
        <w:spacing w:after="0" w:line="240" w:lineRule="auto"/>
        <w:rPr>
          <w:rFonts w:eastAsia="Times New Roman"/>
          <w:szCs w:val="20"/>
          <w:lang w:val="en-US"/>
        </w:rPr>
      </w:pPr>
    </w:p>
    <w:p w14:paraId="069541E8" w14:textId="104E8526" w:rsidR="000C686B" w:rsidRPr="0059317C" w:rsidRDefault="00877BF3" w:rsidP="00DA5576">
      <w:pPr>
        <w:widowControl w:val="0"/>
        <w:autoSpaceDE w:val="0"/>
        <w:autoSpaceDN w:val="0"/>
        <w:adjustRightInd w:val="0"/>
        <w:spacing w:after="0" w:line="240" w:lineRule="auto"/>
        <w:rPr>
          <w:rFonts w:eastAsia="Times New Roman"/>
          <w:szCs w:val="20"/>
          <w:lang w:val="en-US"/>
        </w:rPr>
      </w:pPr>
      <w:r w:rsidRPr="0059317C">
        <w:rPr>
          <w:rFonts w:eastAsia="Times New Roman"/>
          <w:szCs w:val="20"/>
          <w:lang w:val="en-US"/>
        </w:rPr>
        <w:t xml:space="preserve">The style of the </w:t>
      </w:r>
      <w:r w:rsidR="00C639B9" w:rsidRPr="0059317C">
        <w:rPr>
          <w:rFonts w:eastAsia="Times New Roman"/>
          <w:szCs w:val="20"/>
          <w:lang w:val="en-US"/>
        </w:rPr>
        <w:t xml:space="preserve">Scorpion I wine </w:t>
      </w:r>
      <w:r w:rsidRPr="0059317C">
        <w:rPr>
          <w:rFonts w:eastAsia="Times New Roman"/>
          <w:szCs w:val="20"/>
          <w:lang w:val="en-US"/>
        </w:rPr>
        <w:t xml:space="preserve">jars themselves supplied further clues about where the wine had been made, on the reasonable assumption that both the pottery and the wine originated from the same general area.  Their decorations of smeared red and white slips, narrow painted bands, or dramatic, swirling “tiger-stripes” set them apart from anything made in Egypt.  Only one time period and area fit the bill: </w:t>
      </w:r>
      <w:r w:rsidR="000C686B" w:rsidRPr="0059317C">
        <w:rPr>
          <w:rFonts w:eastAsia="Times New Roman"/>
          <w:szCs w:val="20"/>
          <w:lang w:val="en-US"/>
        </w:rPr>
        <w:t>an early</w:t>
      </w:r>
      <w:r w:rsidRPr="0059317C">
        <w:rPr>
          <w:rFonts w:eastAsia="Times New Roman"/>
          <w:szCs w:val="20"/>
          <w:lang w:val="en-US"/>
        </w:rPr>
        <w:t xml:space="preserve"> phase of the E</w:t>
      </w:r>
      <w:r w:rsidR="00516D8D">
        <w:rPr>
          <w:rFonts w:eastAsia="Times New Roman"/>
          <w:szCs w:val="20"/>
          <w:lang w:val="en-US"/>
        </w:rPr>
        <w:t>BA</w:t>
      </w:r>
      <w:r w:rsidR="00CA2B13" w:rsidRPr="0059317C">
        <w:rPr>
          <w:rFonts w:eastAsia="Times New Roman"/>
          <w:szCs w:val="20"/>
          <w:lang w:val="en-US"/>
        </w:rPr>
        <w:t>(</w:t>
      </w:r>
      <w:r w:rsidR="000C686B" w:rsidRPr="0059317C">
        <w:rPr>
          <w:rFonts w:eastAsia="Times New Roman"/>
          <w:szCs w:val="20"/>
          <w:lang w:val="en-US"/>
        </w:rPr>
        <w:t>specifically</w:t>
      </w:r>
      <w:r w:rsidR="00A436EA" w:rsidRPr="0059317C">
        <w:rPr>
          <w:rFonts w:eastAsia="Times New Roman"/>
          <w:szCs w:val="20"/>
          <w:lang w:val="en-US"/>
        </w:rPr>
        <w:t>,</w:t>
      </w:r>
      <w:r w:rsidR="000C686B" w:rsidRPr="0059317C">
        <w:rPr>
          <w:rFonts w:eastAsia="Times New Roman"/>
          <w:szCs w:val="20"/>
          <w:lang w:val="en-US"/>
        </w:rPr>
        <w:t xml:space="preserve"> </w:t>
      </w:r>
      <w:r w:rsidR="00CA2B13" w:rsidRPr="0059317C">
        <w:rPr>
          <w:rFonts w:eastAsia="Times New Roman"/>
          <w:szCs w:val="20"/>
          <w:lang w:val="en-US"/>
        </w:rPr>
        <w:t>E</w:t>
      </w:r>
      <w:r w:rsidR="00516D8D">
        <w:rPr>
          <w:rFonts w:eastAsia="Times New Roman"/>
          <w:szCs w:val="20"/>
          <w:lang w:val="en-US"/>
        </w:rPr>
        <w:t>B</w:t>
      </w:r>
      <w:r w:rsidR="00CA2B13" w:rsidRPr="0059317C">
        <w:rPr>
          <w:rFonts w:eastAsia="Times New Roman"/>
          <w:szCs w:val="20"/>
          <w:lang w:val="en-US"/>
        </w:rPr>
        <w:t xml:space="preserve"> I</w:t>
      </w:r>
      <w:r w:rsidR="00AB6327" w:rsidRPr="0059317C">
        <w:rPr>
          <w:rFonts w:eastAsia="Times New Roman"/>
          <w:szCs w:val="20"/>
          <w:lang w:val="en-US"/>
        </w:rPr>
        <w:t>B</w:t>
      </w:r>
      <w:r w:rsidR="00125464" w:rsidRPr="0059317C">
        <w:rPr>
          <w:rFonts w:eastAsia="Times New Roman"/>
          <w:szCs w:val="20"/>
          <w:lang w:val="en-US"/>
        </w:rPr>
        <w:t xml:space="preserve"> or Naqada IIIa</w:t>
      </w:r>
      <w:r w:rsidR="00EE7B3D" w:rsidRPr="0059317C">
        <w:rPr>
          <w:rFonts w:eastAsia="Times New Roman"/>
          <w:szCs w:val="20"/>
          <w:lang w:val="en-US"/>
        </w:rPr>
        <w:t>2</w:t>
      </w:r>
      <w:r w:rsidR="00CA2B13" w:rsidRPr="0059317C">
        <w:rPr>
          <w:rFonts w:eastAsia="Times New Roman"/>
          <w:szCs w:val="20"/>
          <w:lang w:val="en-US"/>
        </w:rPr>
        <w:t>)</w:t>
      </w:r>
      <w:r w:rsidRPr="0059317C">
        <w:rPr>
          <w:rFonts w:eastAsia="Times New Roman"/>
          <w:szCs w:val="20"/>
          <w:lang w:val="en-US"/>
        </w:rPr>
        <w:t>, at sites in the vicinity of Gaza on the southern Levantine coast, in the inland Jezreel and Jordan Valleys, and in the hill country of Transjordan, as far south as the Dead Sea</w:t>
      </w:r>
      <w:r w:rsidR="000C686B" w:rsidRPr="0059317C">
        <w:rPr>
          <w:rFonts w:eastAsia="Times New Roman"/>
          <w:szCs w:val="20"/>
          <w:lang w:val="en-US"/>
        </w:rPr>
        <w:t xml:space="preserve"> sites</w:t>
      </w:r>
      <w:r w:rsidR="006B5135" w:rsidRPr="0059317C">
        <w:rPr>
          <w:rFonts w:eastAsia="Times New Roman"/>
          <w:szCs w:val="20"/>
          <w:lang w:val="en-US"/>
        </w:rPr>
        <w:t xml:space="preserve"> of Bab edh-Dhra` and Numayra</w:t>
      </w:r>
      <w:r w:rsidR="000C686B" w:rsidRPr="0059317C">
        <w:rPr>
          <w:rFonts w:eastAsia="Times New Roman"/>
          <w:szCs w:val="20"/>
          <w:lang w:val="en-US"/>
        </w:rPr>
        <w:t xml:space="preserve">.  </w:t>
      </w:r>
    </w:p>
    <w:p w14:paraId="270E0CBE" w14:textId="77777777" w:rsidR="000C686B" w:rsidRPr="0059317C" w:rsidRDefault="000C686B" w:rsidP="00DA5576">
      <w:pPr>
        <w:widowControl w:val="0"/>
        <w:autoSpaceDE w:val="0"/>
        <w:autoSpaceDN w:val="0"/>
        <w:adjustRightInd w:val="0"/>
        <w:spacing w:after="0" w:line="240" w:lineRule="auto"/>
        <w:rPr>
          <w:color w:val="000000"/>
          <w:lang w:val="en-US"/>
        </w:rPr>
      </w:pPr>
    </w:p>
    <w:p w14:paraId="610B95FC" w14:textId="77777777" w:rsidR="00877BF3" w:rsidRPr="0059317C" w:rsidRDefault="00232724" w:rsidP="00DA5576">
      <w:pPr>
        <w:widowControl w:val="0"/>
        <w:autoSpaceDE w:val="0"/>
        <w:autoSpaceDN w:val="0"/>
        <w:adjustRightInd w:val="0"/>
        <w:spacing w:after="0" w:line="240" w:lineRule="auto"/>
        <w:rPr>
          <w:color w:val="000000"/>
          <w:lang w:val="en-US"/>
        </w:rPr>
      </w:pPr>
      <w:r w:rsidRPr="0059317C">
        <w:rPr>
          <w:rFonts w:eastAsia="Times New Roman"/>
          <w:szCs w:val="20"/>
          <w:lang w:val="en-US"/>
        </w:rPr>
        <w:t>The southern Levantine stylistic affinities of the jars were further corroborated by numerous</w:t>
      </w:r>
      <w:r w:rsidR="00335F4F" w:rsidRPr="0059317C">
        <w:rPr>
          <w:rFonts w:eastAsia="Times New Roman"/>
          <w:szCs w:val="20"/>
          <w:lang w:val="en-US"/>
        </w:rPr>
        <w:t xml:space="preserve"> clay sealings</w:t>
      </w:r>
      <w:r w:rsidRPr="0059317C">
        <w:rPr>
          <w:rFonts w:eastAsia="Times New Roman"/>
          <w:szCs w:val="20"/>
          <w:lang w:val="en-US"/>
        </w:rPr>
        <w:t xml:space="preserve"> scattered in and around the jars. They</w:t>
      </w:r>
      <w:r w:rsidR="00335F4F" w:rsidRPr="0059317C">
        <w:rPr>
          <w:rFonts w:eastAsia="Times New Roman"/>
          <w:szCs w:val="20"/>
          <w:lang w:val="en-US"/>
        </w:rPr>
        <w:t xml:space="preserve"> had apparently been </w:t>
      </w:r>
      <w:r w:rsidR="00335F4F" w:rsidRPr="0059317C">
        <w:rPr>
          <w:rFonts w:eastAsia="Times New Roman"/>
          <w:szCs w:val="20"/>
          <w:lang w:val="en-US"/>
        </w:rPr>
        <w:lastRenderedPageBreak/>
        <w:t xml:space="preserve">originally attached as labels by strings that held </w:t>
      </w:r>
      <w:r w:rsidRPr="0059317C">
        <w:rPr>
          <w:rFonts w:eastAsia="Times New Roman"/>
          <w:szCs w:val="20"/>
          <w:lang w:val="en-US"/>
        </w:rPr>
        <w:t>down</w:t>
      </w:r>
      <w:r w:rsidR="00335F4F" w:rsidRPr="0059317C">
        <w:rPr>
          <w:rFonts w:eastAsia="Times New Roman"/>
          <w:szCs w:val="20"/>
          <w:lang w:val="en-US"/>
        </w:rPr>
        <w:t xml:space="preserve"> </w:t>
      </w:r>
      <w:r w:rsidR="00426722" w:rsidRPr="0059317C">
        <w:rPr>
          <w:rFonts w:eastAsia="Times New Roman"/>
          <w:szCs w:val="20"/>
          <w:lang w:val="en-US"/>
        </w:rPr>
        <w:t xml:space="preserve">an </w:t>
      </w:r>
      <w:r w:rsidR="00335F4F" w:rsidRPr="0059317C">
        <w:rPr>
          <w:rFonts w:eastAsia="Times New Roman"/>
          <w:szCs w:val="20"/>
          <w:lang w:val="en-US"/>
        </w:rPr>
        <w:t xml:space="preserve">organic cover, such as leather, over the mouth of </w:t>
      </w:r>
      <w:r w:rsidR="00426722" w:rsidRPr="0059317C">
        <w:rPr>
          <w:rFonts w:eastAsia="Times New Roman"/>
          <w:szCs w:val="20"/>
          <w:lang w:val="en-US"/>
        </w:rPr>
        <w:t>each</w:t>
      </w:r>
      <w:r w:rsidR="00335F4F" w:rsidRPr="0059317C">
        <w:rPr>
          <w:rFonts w:eastAsia="Times New Roman"/>
          <w:szCs w:val="20"/>
          <w:lang w:val="en-US"/>
        </w:rPr>
        <w:t xml:space="preserve"> jar, which then disintegrated and caused them to fall to the floor.  </w:t>
      </w:r>
      <w:r w:rsidR="00877BF3" w:rsidRPr="0059317C">
        <w:rPr>
          <w:color w:val="000000"/>
          <w:lang w:val="en-US"/>
        </w:rPr>
        <w:t>The sealings displayed finely cut cylinder seal impressions of distinctively non-Egyptian types, which combined free-flowing designs of animals (including antelope, fish, birds, and snakes) with geometric patterns.  A thorough search of the archaeological literature revealed no exact matches for the</w:t>
      </w:r>
      <w:r w:rsidR="00F84398" w:rsidRPr="0059317C">
        <w:rPr>
          <w:color w:val="000000"/>
          <w:lang w:val="en-US"/>
        </w:rPr>
        <w:t>m</w:t>
      </w:r>
      <w:r w:rsidR="00877BF3" w:rsidRPr="0059317C">
        <w:rPr>
          <w:color w:val="000000"/>
          <w:lang w:val="en-US"/>
        </w:rPr>
        <w:t xml:space="preserve">, but the closest parallels pointed again to the northern Jordan Valley and the eastern shore of the Dead Sea. </w:t>
      </w:r>
    </w:p>
    <w:p w14:paraId="1485D0E5" w14:textId="77777777" w:rsidR="00877BF3" w:rsidRPr="0059317C" w:rsidRDefault="00877BF3" w:rsidP="00DA5576">
      <w:pPr>
        <w:widowControl w:val="0"/>
        <w:autoSpaceDE w:val="0"/>
        <w:autoSpaceDN w:val="0"/>
        <w:adjustRightInd w:val="0"/>
        <w:spacing w:after="0" w:line="240" w:lineRule="auto"/>
        <w:rPr>
          <w:rFonts w:eastAsia="Times New Roman"/>
          <w:szCs w:val="20"/>
          <w:lang w:val="en-US"/>
        </w:rPr>
      </w:pPr>
    </w:p>
    <w:p w14:paraId="40381E35" w14:textId="7327B9CF" w:rsidR="00E97F8D" w:rsidRDefault="00C639B9" w:rsidP="00C03310">
      <w:pPr>
        <w:widowControl w:val="0"/>
        <w:autoSpaceDE w:val="0"/>
        <w:autoSpaceDN w:val="0"/>
        <w:adjustRightInd w:val="0"/>
        <w:spacing w:after="0" w:line="240" w:lineRule="auto"/>
        <w:rPr>
          <w:szCs w:val="20"/>
        </w:rPr>
      </w:pPr>
      <w:r w:rsidRPr="0059317C">
        <w:rPr>
          <w:rFonts w:eastAsia="Times New Roman"/>
          <w:szCs w:val="20"/>
          <w:lang w:val="en-US"/>
        </w:rPr>
        <w:t>With such a wealth of evidence</w:t>
      </w:r>
      <w:r w:rsidR="00A85B69" w:rsidRPr="0059317C">
        <w:rPr>
          <w:rFonts w:eastAsia="Times New Roman"/>
          <w:szCs w:val="20"/>
          <w:lang w:val="en-US"/>
        </w:rPr>
        <w:t xml:space="preserve"> from a wide range of disciplines—NAA, organic residue analysis, pottery typology, art histor</w:t>
      </w:r>
      <w:r w:rsidR="00426722" w:rsidRPr="0059317C">
        <w:rPr>
          <w:rFonts w:eastAsia="Times New Roman"/>
          <w:szCs w:val="20"/>
          <w:lang w:val="en-US"/>
        </w:rPr>
        <w:t>y</w:t>
      </w:r>
      <w:r w:rsidR="00185736" w:rsidRPr="0059317C">
        <w:rPr>
          <w:rFonts w:eastAsia="Times New Roman"/>
          <w:szCs w:val="20"/>
          <w:lang w:val="en-US"/>
        </w:rPr>
        <w:t>, etc</w:t>
      </w:r>
      <w:r w:rsidR="009A57B7" w:rsidRPr="0059317C">
        <w:rPr>
          <w:rFonts w:eastAsia="Times New Roman"/>
          <w:szCs w:val="20"/>
          <w:lang w:val="en-US"/>
        </w:rPr>
        <w:t>.</w:t>
      </w:r>
      <w:r w:rsidR="009A57B7">
        <w:rPr>
          <w:rFonts w:eastAsia="Times New Roman"/>
          <w:szCs w:val="20"/>
          <w:lang w:val="en-US"/>
        </w:rPr>
        <w:t>—</w:t>
      </w:r>
      <w:r w:rsidRPr="0059317C">
        <w:rPr>
          <w:rFonts w:eastAsia="Times New Roman"/>
          <w:szCs w:val="20"/>
          <w:lang w:val="en-US"/>
        </w:rPr>
        <w:t xml:space="preserve">for the importation of the Scorpion I wine jars from </w:t>
      </w:r>
      <w:r w:rsidR="00A85B69" w:rsidRPr="0059317C">
        <w:rPr>
          <w:rFonts w:eastAsia="Times New Roman"/>
          <w:szCs w:val="20"/>
          <w:lang w:val="en-US"/>
        </w:rPr>
        <w:t>the southern Levant</w:t>
      </w:r>
      <w:r w:rsidR="000A1878" w:rsidRPr="0059317C">
        <w:rPr>
          <w:rFonts w:eastAsia="Times New Roman"/>
          <w:szCs w:val="20"/>
          <w:lang w:val="en-US"/>
        </w:rPr>
        <w:t xml:space="preserve">, it came as a shock when Porat and Goren </w:t>
      </w:r>
      <w:r w:rsidR="00B81B90" w:rsidRPr="0059317C">
        <w:rPr>
          <w:rFonts w:eastAsia="Times New Roman"/>
          <w:szCs w:val="20"/>
          <w:lang w:val="en-US"/>
        </w:rPr>
        <w:t>claimed that of “about 130” jars that they examined petrographically</w:t>
      </w:r>
      <w:r w:rsidR="009A57B7">
        <w:rPr>
          <w:rFonts w:eastAsia="Times New Roman"/>
          <w:szCs w:val="20"/>
          <w:lang w:val="en-US"/>
        </w:rPr>
        <w:t>,</w:t>
      </w:r>
      <w:r w:rsidR="00FE1655">
        <w:rPr>
          <w:rFonts w:eastAsia="Times New Roman"/>
          <w:szCs w:val="20"/>
          <w:lang w:val="en-US"/>
        </w:rPr>
        <w:t xml:space="preserve"> </w:t>
      </w:r>
      <w:r w:rsidR="009A57B7">
        <w:rPr>
          <w:rFonts w:eastAsia="Times New Roman"/>
          <w:szCs w:val="20"/>
          <w:lang w:val="en-US"/>
        </w:rPr>
        <w:t>all</w:t>
      </w:r>
      <w:r w:rsidR="00B81B90" w:rsidRPr="0059317C">
        <w:rPr>
          <w:rFonts w:eastAsia="Times New Roman"/>
          <w:szCs w:val="20"/>
          <w:lang w:val="en-US"/>
        </w:rPr>
        <w:t xml:space="preserve"> were made from a local arkose clay </w:t>
      </w:r>
      <w:r w:rsidR="00C83D47" w:rsidRPr="0059317C">
        <w:rPr>
          <w:rFonts w:eastAsia="Times New Roman"/>
          <w:szCs w:val="20"/>
          <w:lang w:val="en-US"/>
        </w:rPr>
        <w:t xml:space="preserve">bed in a single workshop, likely </w:t>
      </w:r>
      <w:r w:rsidR="00B81B90" w:rsidRPr="0059317C">
        <w:rPr>
          <w:rFonts w:eastAsia="Times New Roman"/>
          <w:szCs w:val="20"/>
          <w:lang w:val="en-US"/>
        </w:rPr>
        <w:t>at Abydos</w:t>
      </w:r>
      <w:r w:rsidR="00C83D47" w:rsidRPr="0059317C">
        <w:rPr>
          <w:rFonts w:eastAsia="Times New Roman"/>
          <w:szCs w:val="20"/>
          <w:lang w:val="en-US"/>
        </w:rPr>
        <w:t xml:space="preserve"> itself.  The assignment of samples to more specific groups was made </w:t>
      </w:r>
      <w:r w:rsidR="0083056B" w:rsidRPr="0059317C">
        <w:rPr>
          <w:rFonts w:eastAsia="Times New Roman"/>
          <w:szCs w:val="20"/>
          <w:lang w:val="en-US"/>
        </w:rPr>
        <w:t>by comparing the Scorpion I thin-sections to a database of some 8000 clay and pottery samples from the southern Levant.  But any comparisons for that region were dismissed in favor of a geological map</w:t>
      </w:r>
      <w:r w:rsidR="00C03310" w:rsidRPr="0059317C">
        <w:rPr>
          <w:rFonts w:eastAsia="Times New Roman"/>
          <w:szCs w:val="20"/>
          <w:lang w:val="en-US"/>
        </w:rPr>
        <w:t xml:space="preserve"> showing that the requisite clay was located</w:t>
      </w:r>
      <w:r w:rsidR="0083056B" w:rsidRPr="0059317C">
        <w:rPr>
          <w:rFonts w:eastAsia="Times New Roman"/>
          <w:szCs w:val="20"/>
          <w:lang w:val="en-US"/>
        </w:rPr>
        <w:t xml:space="preserve"> </w:t>
      </w:r>
      <w:r w:rsidR="00C03310" w:rsidRPr="0059317C">
        <w:rPr>
          <w:rFonts w:eastAsia="Times New Roman"/>
          <w:szCs w:val="20"/>
          <w:lang w:val="en-US"/>
        </w:rPr>
        <w:t>in</w:t>
      </w:r>
      <w:r w:rsidR="0083056B" w:rsidRPr="0059317C">
        <w:rPr>
          <w:rFonts w:eastAsia="Times New Roman"/>
          <w:szCs w:val="20"/>
          <w:lang w:val="en-US"/>
        </w:rPr>
        <w:t xml:space="preserve"> the Abydos area</w:t>
      </w:r>
      <w:r w:rsidR="006C1F2D">
        <w:rPr>
          <w:rFonts w:eastAsia="Times New Roman"/>
          <w:szCs w:val="20"/>
          <w:lang w:val="en-US"/>
        </w:rPr>
        <w:t xml:space="preserve">.  It is said to be </w:t>
      </w:r>
      <w:r w:rsidR="00EB1C17">
        <w:rPr>
          <w:rFonts w:eastAsia="Times New Roman"/>
          <w:szCs w:val="20"/>
          <w:lang w:val="en-US"/>
        </w:rPr>
        <w:t>a marl containing arkose.  As</w:t>
      </w:r>
      <w:r w:rsidR="009C060E">
        <w:rPr>
          <w:rFonts w:eastAsia="Times New Roman"/>
          <w:szCs w:val="20"/>
          <w:lang w:val="en-US"/>
        </w:rPr>
        <w:t xml:space="preserve"> </w:t>
      </w:r>
      <w:r w:rsidR="008E326C">
        <w:rPr>
          <w:rFonts w:eastAsia="Times New Roman"/>
          <w:szCs w:val="20"/>
          <w:lang w:val="en-US"/>
        </w:rPr>
        <w:t>Goren emailed me in January 1997</w:t>
      </w:r>
      <w:r w:rsidR="00F63943">
        <w:rPr>
          <w:rFonts w:eastAsia="Times New Roman"/>
          <w:szCs w:val="20"/>
          <w:lang w:val="en-US"/>
        </w:rPr>
        <w:t xml:space="preserve">: </w:t>
      </w:r>
      <w:r w:rsidR="00C03310" w:rsidRPr="0059317C">
        <w:rPr>
          <w:rFonts w:eastAsia="Times New Roman"/>
          <w:szCs w:val="20"/>
          <w:lang w:val="en-US"/>
        </w:rPr>
        <w:t>“</w:t>
      </w:r>
      <w:r w:rsidR="00C03310" w:rsidRPr="0059317C">
        <w:rPr>
          <w:color w:val="000000"/>
          <w:szCs w:val="20"/>
        </w:rPr>
        <w:t>Minerals of igneous origin can be derived,</w:t>
      </w:r>
      <w:r w:rsidR="00C03310" w:rsidRPr="0059317C">
        <w:rPr>
          <w:color w:val="000000"/>
          <w:szCs w:val="20"/>
          <w:lang w:val="en-US"/>
        </w:rPr>
        <w:t xml:space="preserve"> </w:t>
      </w:r>
      <w:r w:rsidR="00C03310" w:rsidRPr="0059317C">
        <w:rPr>
          <w:color w:val="000000"/>
          <w:szCs w:val="20"/>
        </w:rPr>
        <w:t>as single fine sand particles, by aeolian forces inland. However, in the case of the pottery from Abydos we are dealing with ar</w:t>
      </w:r>
      <w:r w:rsidR="00F63943">
        <w:rPr>
          <w:color w:val="000000"/>
          <w:szCs w:val="20"/>
        </w:rPr>
        <w:t>k</w:t>
      </w:r>
      <w:r w:rsidR="00C03310" w:rsidRPr="0059317C">
        <w:rPr>
          <w:color w:val="000000"/>
          <w:szCs w:val="20"/>
        </w:rPr>
        <w:t xml:space="preserve">ose, that is to say very coarse matter with granitic particles sizing 3 mm and sometimes even more. </w:t>
      </w:r>
      <w:r w:rsidR="006604AC" w:rsidRPr="0059317C">
        <w:rPr>
          <w:color w:val="000000"/>
          <w:szCs w:val="20"/>
        </w:rPr>
        <w:t xml:space="preserve"> </w:t>
      </w:r>
      <w:r w:rsidR="00C03310" w:rsidRPr="0059317C">
        <w:rPr>
          <w:color w:val="000000"/>
          <w:szCs w:val="20"/>
        </w:rPr>
        <w:t>The particles are angular, indicating a short distance from their mother rock</w:t>
      </w:r>
      <w:r w:rsidR="00C149D8">
        <w:rPr>
          <w:color w:val="000000"/>
          <w:szCs w:val="20"/>
        </w:rPr>
        <w:t>.</w:t>
      </w:r>
      <w:r w:rsidR="00C149D8">
        <w:rPr>
          <w:szCs w:val="20"/>
        </w:rPr>
        <w:t>”</w:t>
      </w:r>
    </w:p>
    <w:p w14:paraId="4460129B" w14:textId="77777777" w:rsidR="00E97F8D" w:rsidRDefault="00E97F8D" w:rsidP="00C03310">
      <w:pPr>
        <w:widowControl w:val="0"/>
        <w:autoSpaceDE w:val="0"/>
        <w:autoSpaceDN w:val="0"/>
        <w:adjustRightInd w:val="0"/>
        <w:spacing w:after="0" w:line="240" w:lineRule="auto"/>
        <w:rPr>
          <w:szCs w:val="20"/>
        </w:rPr>
      </w:pPr>
    </w:p>
    <w:p w14:paraId="630BB8AB" w14:textId="5610268B" w:rsidR="00D357AB" w:rsidRDefault="008E326C" w:rsidP="00CE09BE">
      <w:pPr>
        <w:widowControl w:val="0"/>
        <w:autoSpaceDE w:val="0"/>
        <w:autoSpaceDN w:val="0"/>
        <w:adjustRightInd w:val="0"/>
        <w:spacing w:after="0" w:line="240" w:lineRule="auto"/>
        <w:rPr>
          <w:szCs w:val="20"/>
        </w:rPr>
      </w:pPr>
      <w:r>
        <w:rPr>
          <w:szCs w:val="20"/>
        </w:rPr>
        <w:t xml:space="preserve">Yet, as </w:t>
      </w:r>
      <w:r>
        <w:rPr>
          <w:rFonts w:eastAsia="Times New Roman"/>
          <w:szCs w:val="20"/>
          <w:lang w:val="en-US"/>
        </w:rPr>
        <w:t xml:space="preserve">Dr. Wnuk </w:t>
      </w:r>
      <w:r w:rsidR="00E97F8D">
        <w:rPr>
          <w:rFonts w:eastAsia="Times New Roman"/>
          <w:szCs w:val="20"/>
          <w:lang w:val="en-US"/>
        </w:rPr>
        <w:t>expands upon and makes clear in</w:t>
      </w:r>
      <w:r>
        <w:rPr>
          <w:rFonts w:eastAsia="Times New Roman"/>
          <w:szCs w:val="20"/>
          <w:lang w:val="en-US"/>
        </w:rPr>
        <w:t xml:space="preserve"> his Addendum, </w:t>
      </w:r>
      <w:r w:rsidR="004A0952">
        <w:rPr>
          <w:rFonts w:eastAsia="Times New Roman"/>
          <w:szCs w:val="20"/>
          <w:lang w:val="en-US"/>
        </w:rPr>
        <w:t>G</w:t>
      </w:r>
      <w:r w:rsidR="00E97F8D">
        <w:rPr>
          <w:rFonts w:eastAsia="Times New Roman"/>
          <w:szCs w:val="20"/>
          <w:lang w:val="en-US"/>
        </w:rPr>
        <w:t>or</w:t>
      </w:r>
      <w:r w:rsidR="004A0952">
        <w:rPr>
          <w:rFonts w:eastAsia="Times New Roman"/>
          <w:szCs w:val="20"/>
          <w:lang w:val="en-US"/>
        </w:rPr>
        <w:t>en appears not to understand what arkose is in geological terms</w:t>
      </w:r>
      <w:r>
        <w:rPr>
          <w:szCs w:val="20"/>
        </w:rPr>
        <w:t xml:space="preserve"> </w:t>
      </w:r>
      <w:r w:rsidR="00E97F8D">
        <w:rPr>
          <w:szCs w:val="20"/>
        </w:rPr>
        <w:t xml:space="preserve">  </w:t>
      </w:r>
      <w:r w:rsidR="00CE09BE">
        <w:rPr>
          <w:szCs w:val="20"/>
        </w:rPr>
        <w:t xml:space="preserve">In a March </w:t>
      </w:r>
      <w:r w:rsidR="00AC01BC">
        <w:rPr>
          <w:szCs w:val="20"/>
        </w:rPr>
        <w:t xml:space="preserve">10, </w:t>
      </w:r>
      <w:r w:rsidR="00CE09BE">
        <w:rPr>
          <w:szCs w:val="20"/>
        </w:rPr>
        <w:t>2019 email, he writes:</w:t>
      </w:r>
    </w:p>
    <w:p w14:paraId="6343C3FC" w14:textId="77777777" w:rsidR="00D357AB" w:rsidRDefault="00D357AB" w:rsidP="00CE09BE">
      <w:pPr>
        <w:widowControl w:val="0"/>
        <w:autoSpaceDE w:val="0"/>
        <w:autoSpaceDN w:val="0"/>
        <w:adjustRightInd w:val="0"/>
        <w:spacing w:after="0" w:line="240" w:lineRule="auto"/>
        <w:rPr>
          <w:szCs w:val="20"/>
        </w:rPr>
      </w:pPr>
    </w:p>
    <w:p w14:paraId="74034B1E" w14:textId="44A39583" w:rsidR="00D357AB" w:rsidRPr="00907082" w:rsidRDefault="00CE09BE" w:rsidP="00907082">
      <w:pPr>
        <w:widowControl w:val="0"/>
        <w:autoSpaceDE w:val="0"/>
        <w:autoSpaceDN w:val="0"/>
        <w:adjustRightInd w:val="0"/>
        <w:spacing w:after="0" w:line="240" w:lineRule="auto"/>
        <w:ind w:left="720"/>
        <w:rPr>
          <w:sz w:val="22"/>
        </w:rPr>
      </w:pPr>
      <w:r w:rsidRPr="00907082">
        <w:rPr>
          <w:sz w:val="22"/>
        </w:rPr>
        <w:t xml:space="preserve">Reading through the paragraph on the arkose was the most painful experience of all.  It is pretty clear that whoever wrote this is clueless. It has been a while since I read so much pure nonsense. There is so much wrong with this paragraph, I don’t know where to start.  I could probably generate 10 pages of criticism on this paragraph alone.  The statement that arkose derives from a weathering granite – wow! Yes arkose is often generated from decomposing granite, but any rock that contains feldspar will generate an arkose.  The arkose in the Furness building </w:t>
      </w:r>
      <w:r w:rsidRPr="00907082">
        <w:rPr>
          <w:sz w:val="22"/>
        </w:rPr>
        <w:lastRenderedPageBreak/>
        <w:t>[at the University of Pennsylvania] comes from a diabase which is a course grained version of a basalt (which is kind of the opposite of granite).</w:t>
      </w:r>
    </w:p>
    <w:p w14:paraId="00B11A6D" w14:textId="77777777" w:rsidR="00D357AB" w:rsidRDefault="00D357AB" w:rsidP="00CE09BE">
      <w:pPr>
        <w:widowControl w:val="0"/>
        <w:autoSpaceDE w:val="0"/>
        <w:autoSpaceDN w:val="0"/>
        <w:adjustRightInd w:val="0"/>
        <w:spacing w:after="0" w:line="240" w:lineRule="auto"/>
        <w:rPr>
          <w:szCs w:val="20"/>
        </w:rPr>
      </w:pPr>
    </w:p>
    <w:p w14:paraId="6CABADB1" w14:textId="1B91A5AA" w:rsidR="00C03310" w:rsidRPr="00D52718" w:rsidRDefault="00CE09BE" w:rsidP="00CE09BE">
      <w:pPr>
        <w:widowControl w:val="0"/>
        <w:autoSpaceDE w:val="0"/>
        <w:autoSpaceDN w:val="0"/>
        <w:adjustRightInd w:val="0"/>
        <w:spacing w:after="0" w:line="240" w:lineRule="auto"/>
        <w:rPr>
          <w:szCs w:val="20"/>
        </w:rPr>
      </w:pPr>
      <w:r>
        <w:rPr>
          <w:szCs w:val="20"/>
        </w:rPr>
        <w:t>The issue of a</w:t>
      </w:r>
      <w:r w:rsidR="0049530C" w:rsidRPr="0059317C">
        <w:rPr>
          <w:szCs w:val="20"/>
        </w:rPr>
        <w:t>r</w:t>
      </w:r>
      <w:r w:rsidR="00624DCC" w:rsidRPr="0059317C">
        <w:rPr>
          <w:szCs w:val="20"/>
        </w:rPr>
        <w:t>k</w:t>
      </w:r>
      <w:r w:rsidR="0049530C" w:rsidRPr="0059317C">
        <w:rPr>
          <w:szCs w:val="20"/>
        </w:rPr>
        <w:t>ose</w:t>
      </w:r>
      <w:r>
        <w:rPr>
          <w:szCs w:val="20"/>
        </w:rPr>
        <w:t xml:space="preserve"> in Goren’s analyses is not restricted to Abydos</w:t>
      </w:r>
      <w:r w:rsidR="00CB770A">
        <w:rPr>
          <w:szCs w:val="20"/>
        </w:rPr>
        <w:t xml:space="preserve">.  </w:t>
      </w:r>
      <w:r w:rsidR="00E76D9D">
        <w:rPr>
          <w:szCs w:val="20"/>
        </w:rPr>
        <w:t xml:space="preserve">It </w:t>
      </w:r>
      <w:r w:rsidR="0049530C" w:rsidRPr="0059317C">
        <w:rPr>
          <w:szCs w:val="20"/>
        </w:rPr>
        <w:t xml:space="preserve">has seemingly played a </w:t>
      </w:r>
      <w:r w:rsidR="00E76D9D">
        <w:rPr>
          <w:szCs w:val="20"/>
        </w:rPr>
        <w:t>large</w:t>
      </w:r>
      <w:r w:rsidR="00E76D9D" w:rsidRPr="0059317C">
        <w:rPr>
          <w:szCs w:val="20"/>
        </w:rPr>
        <w:t xml:space="preserve"> </w:t>
      </w:r>
      <w:r w:rsidR="0049530C" w:rsidRPr="0059317C">
        <w:rPr>
          <w:szCs w:val="20"/>
        </w:rPr>
        <w:t xml:space="preserve">part in </w:t>
      </w:r>
      <w:r w:rsidR="00E76D9D">
        <w:rPr>
          <w:szCs w:val="20"/>
        </w:rPr>
        <w:t xml:space="preserve">many of </w:t>
      </w:r>
      <w:r w:rsidR="00F63943">
        <w:rPr>
          <w:szCs w:val="20"/>
        </w:rPr>
        <w:t>Goren’s</w:t>
      </w:r>
      <w:r w:rsidR="0049530C" w:rsidRPr="0059317C">
        <w:rPr>
          <w:szCs w:val="20"/>
        </w:rPr>
        <w:t xml:space="preserve"> petrographic analyses</w:t>
      </w:r>
      <w:r w:rsidR="00EC2675">
        <w:rPr>
          <w:szCs w:val="20"/>
        </w:rPr>
        <w:t xml:space="preserve">. </w:t>
      </w:r>
      <w:r w:rsidR="006667AB">
        <w:rPr>
          <w:szCs w:val="20"/>
        </w:rPr>
        <w:t xml:space="preserve"> </w:t>
      </w:r>
      <w:r w:rsidR="00E76D9D">
        <w:rPr>
          <w:szCs w:val="20"/>
        </w:rPr>
        <w:t>F</w:t>
      </w:r>
      <w:r w:rsidR="007D7E72">
        <w:rPr>
          <w:szCs w:val="20"/>
        </w:rPr>
        <w:t>o</w:t>
      </w:r>
      <w:r w:rsidR="00E76D9D">
        <w:rPr>
          <w:szCs w:val="20"/>
        </w:rPr>
        <w:t>r example,</w:t>
      </w:r>
      <w:r w:rsidR="0049530C" w:rsidRPr="0059317C">
        <w:rPr>
          <w:szCs w:val="20"/>
        </w:rPr>
        <w:t xml:space="preserve"> </w:t>
      </w:r>
      <w:r w:rsidR="006667AB">
        <w:rPr>
          <w:szCs w:val="20"/>
        </w:rPr>
        <w:t xml:space="preserve">Goren claims that </w:t>
      </w:r>
      <w:r w:rsidR="0049530C" w:rsidRPr="0059317C">
        <w:rPr>
          <w:szCs w:val="20"/>
        </w:rPr>
        <w:t>Moza clay from Jerusalem</w:t>
      </w:r>
      <w:r w:rsidR="00E76D9D">
        <w:rPr>
          <w:szCs w:val="20"/>
        </w:rPr>
        <w:t xml:space="preserve"> and </w:t>
      </w:r>
      <w:r w:rsidR="006667AB">
        <w:rPr>
          <w:szCs w:val="20"/>
        </w:rPr>
        <w:t xml:space="preserve">the </w:t>
      </w:r>
      <w:r w:rsidR="00E76D9D">
        <w:rPr>
          <w:szCs w:val="20"/>
        </w:rPr>
        <w:t xml:space="preserve">central hill country of the West Bank </w:t>
      </w:r>
      <w:r w:rsidR="006667AB">
        <w:rPr>
          <w:szCs w:val="20"/>
        </w:rPr>
        <w:t xml:space="preserve">was used to </w:t>
      </w:r>
      <w:r w:rsidR="0042302B">
        <w:rPr>
          <w:szCs w:val="20"/>
        </w:rPr>
        <w:t>mak</w:t>
      </w:r>
      <w:r w:rsidR="006667AB">
        <w:rPr>
          <w:szCs w:val="20"/>
        </w:rPr>
        <w:t>e</w:t>
      </w:r>
      <w:r w:rsidR="0042302B">
        <w:rPr>
          <w:szCs w:val="20"/>
        </w:rPr>
        <w:t xml:space="preserve"> </w:t>
      </w:r>
      <w:r w:rsidR="007D7E72" w:rsidRPr="0059317C">
        <w:rPr>
          <w:szCs w:val="20"/>
        </w:rPr>
        <w:t xml:space="preserve">EB IV </w:t>
      </w:r>
      <w:r w:rsidR="0042302B">
        <w:rPr>
          <w:szCs w:val="20"/>
        </w:rPr>
        <w:t>pottery</w:t>
      </w:r>
      <w:r w:rsidR="00FF6018" w:rsidRPr="00FF6018">
        <w:rPr>
          <w:szCs w:val="20"/>
        </w:rPr>
        <w:t xml:space="preserve"> </w:t>
      </w:r>
      <w:r w:rsidR="00FF6018">
        <w:rPr>
          <w:szCs w:val="20"/>
        </w:rPr>
        <w:t>found in the Negev</w:t>
      </w:r>
      <w:r w:rsidR="0042302B">
        <w:rPr>
          <w:szCs w:val="20"/>
        </w:rPr>
        <w:t xml:space="preserve">, some of the </w:t>
      </w:r>
      <w:r w:rsidR="00CA3D09">
        <w:rPr>
          <w:szCs w:val="20"/>
        </w:rPr>
        <w:t xml:space="preserve">imported </w:t>
      </w:r>
      <w:r w:rsidR="0042302B">
        <w:rPr>
          <w:szCs w:val="20"/>
        </w:rPr>
        <w:t>MB</w:t>
      </w:r>
      <w:r w:rsidR="00E13014">
        <w:rPr>
          <w:szCs w:val="20"/>
        </w:rPr>
        <w:t>A</w:t>
      </w:r>
      <w:r w:rsidR="0042302B">
        <w:rPr>
          <w:szCs w:val="20"/>
        </w:rPr>
        <w:t xml:space="preserve"> pottery from Tell el-Dab`a</w:t>
      </w:r>
      <w:r w:rsidR="00CB434B">
        <w:rPr>
          <w:szCs w:val="20"/>
        </w:rPr>
        <w:t>,</w:t>
      </w:r>
      <w:r w:rsidR="0042302B">
        <w:rPr>
          <w:szCs w:val="20"/>
        </w:rPr>
        <w:t xml:space="preserve"> and </w:t>
      </w:r>
      <w:r w:rsidR="00DF3636">
        <w:rPr>
          <w:szCs w:val="20"/>
        </w:rPr>
        <w:t>a group of</w:t>
      </w:r>
      <w:r w:rsidR="008A0014">
        <w:rPr>
          <w:szCs w:val="20"/>
        </w:rPr>
        <w:t xml:space="preserve"> </w:t>
      </w:r>
      <w:r w:rsidR="0042302B">
        <w:rPr>
          <w:szCs w:val="20"/>
        </w:rPr>
        <w:t>LB Amarna tablets</w:t>
      </w:r>
      <w:r w:rsidR="00CB434B">
        <w:rPr>
          <w:szCs w:val="20"/>
        </w:rPr>
        <w:t>.</w:t>
      </w:r>
    </w:p>
    <w:p w14:paraId="11334A9A" w14:textId="77777777" w:rsidR="000A1878" w:rsidRPr="0059317C" w:rsidRDefault="000A1878" w:rsidP="00DA5576">
      <w:pPr>
        <w:widowControl w:val="0"/>
        <w:autoSpaceDE w:val="0"/>
        <w:autoSpaceDN w:val="0"/>
        <w:adjustRightInd w:val="0"/>
        <w:spacing w:after="0" w:line="240" w:lineRule="auto"/>
        <w:rPr>
          <w:rFonts w:eastAsia="Times New Roman"/>
          <w:szCs w:val="20"/>
          <w:lang w:val="en-US"/>
        </w:rPr>
      </w:pPr>
    </w:p>
    <w:p w14:paraId="77C1AD9D" w14:textId="69AE16E4" w:rsidR="00383CB0" w:rsidRPr="0059317C" w:rsidRDefault="00823B15" w:rsidP="00DA5576">
      <w:pPr>
        <w:widowControl w:val="0"/>
        <w:autoSpaceDE w:val="0"/>
        <w:autoSpaceDN w:val="0"/>
        <w:adjustRightInd w:val="0"/>
        <w:spacing w:after="0" w:line="240" w:lineRule="auto"/>
        <w:rPr>
          <w:rFonts w:eastAsia="Times New Roman"/>
          <w:szCs w:val="20"/>
          <w:lang w:val="en-US"/>
        </w:rPr>
      </w:pPr>
      <w:r w:rsidRPr="0059317C">
        <w:rPr>
          <w:szCs w:val="20"/>
        </w:rPr>
        <w:t xml:space="preserve">As was my usual practice when the NAA results appeared to disagree with another method’s results, </w:t>
      </w:r>
      <w:r w:rsidR="00383CB0" w:rsidRPr="0059317C">
        <w:rPr>
          <w:szCs w:val="20"/>
        </w:rPr>
        <w:t xml:space="preserve">I proposed to </w:t>
      </w:r>
      <w:r w:rsidR="006604AC" w:rsidRPr="0059317C">
        <w:rPr>
          <w:szCs w:val="20"/>
        </w:rPr>
        <w:t>Goren</w:t>
      </w:r>
      <w:r w:rsidR="00383CB0" w:rsidRPr="0059317C">
        <w:rPr>
          <w:szCs w:val="20"/>
        </w:rPr>
        <w:t xml:space="preserve"> that we run some of his "Abydos" samples</w:t>
      </w:r>
      <w:r w:rsidR="00E13014">
        <w:rPr>
          <w:szCs w:val="20"/>
        </w:rPr>
        <w:t>.  W</w:t>
      </w:r>
      <w:r w:rsidR="00383CB0" w:rsidRPr="0059317C">
        <w:rPr>
          <w:szCs w:val="20"/>
        </w:rPr>
        <w:t xml:space="preserve">hen we did, they again matched </w:t>
      </w:r>
      <w:r w:rsidRPr="0059317C">
        <w:rPr>
          <w:szCs w:val="20"/>
        </w:rPr>
        <w:t xml:space="preserve">the </w:t>
      </w:r>
      <w:r w:rsidR="00383CB0" w:rsidRPr="0059317C">
        <w:rPr>
          <w:szCs w:val="20"/>
        </w:rPr>
        <w:t xml:space="preserve">southern Levant profiles.  </w:t>
      </w:r>
      <w:r w:rsidR="00CA3D09">
        <w:rPr>
          <w:szCs w:val="20"/>
        </w:rPr>
        <w:t>In an oral communication</w:t>
      </w:r>
      <w:r w:rsidR="0056754C">
        <w:rPr>
          <w:szCs w:val="20"/>
        </w:rPr>
        <w:t xml:space="preserve">, Goren told me </w:t>
      </w:r>
      <w:r w:rsidR="006604AC" w:rsidRPr="0059317C">
        <w:rPr>
          <w:szCs w:val="20"/>
        </w:rPr>
        <w:t>that he had made a mistake with those particular samples</w:t>
      </w:r>
      <w:r w:rsidR="003D261A">
        <w:rPr>
          <w:szCs w:val="20"/>
        </w:rPr>
        <w:t xml:space="preserve">, but </w:t>
      </w:r>
      <w:r w:rsidR="006604AC" w:rsidRPr="0059317C">
        <w:rPr>
          <w:szCs w:val="20"/>
        </w:rPr>
        <w:t xml:space="preserve">remained adamant that the other samples, not tested by NAA, were made of the local Abydos clay.  We decided to </w:t>
      </w:r>
      <w:r w:rsidRPr="0059317C">
        <w:rPr>
          <w:szCs w:val="20"/>
        </w:rPr>
        <w:t>conclude our attempt at reconciling the divergent results</w:t>
      </w:r>
      <w:r w:rsidR="006604AC" w:rsidRPr="0059317C">
        <w:rPr>
          <w:szCs w:val="20"/>
        </w:rPr>
        <w:t xml:space="preserve"> and publish our results separately from one another.</w:t>
      </w:r>
      <w:r w:rsidR="00FC4AF3" w:rsidRPr="0059317C">
        <w:rPr>
          <w:szCs w:val="20"/>
        </w:rPr>
        <w:t xml:space="preserve"> </w:t>
      </w:r>
      <w:r w:rsidR="00383CB0" w:rsidRPr="0059317C">
        <w:rPr>
          <w:szCs w:val="20"/>
        </w:rPr>
        <w:t xml:space="preserve"> </w:t>
      </w:r>
    </w:p>
    <w:p w14:paraId="5C2E5EAA" w14:textId="77777777" w:rsidR="00383CB0" w:rsidRPr="0059317C" w:rsidRDefault="00383CB0" w:rsidP="00DA5576">
      <w:pPr>
        <w:widowControl w:val="0"/>
        <w:autoSpaceDE w:val="0"/>
        <w:autoSpaceDN w:val="0"/>
        <w:adjustRightInd w:val="0"/>
        <w:spacing w:after="0" w:line="240" w:lineRule="auto"/>
        <w:rPr>
          <w:rFonts w:eastAsia="Times New Roman"/>
          <w:szCs w:val="20"/>
          <w:lang w:val="en-US"/>
        </w:rPr>
      </w:pPr>
    </w:p>
    <w:p w14:paraId="79F278B2" w14:textId="242A9DFE" w:rsidR="001A0ED8" w:rsidRPr="0059317C" w:rsidRDefault="0049530C" w:rsidP="001A0ED8">
      <w:pPr>
        <w:widowControl w:val="0"/>
        <w:autoSpaceDE w:val="0"/>
        <w:autoSpaceDN w:val="0"/>
        <w:adjustRightInd w:val="0"/>
        <w:spacing w:after="0" w:line="240" w:lineRule="auto"/>
        <w:rPr>
          <w:rFonts w:eastAsiaTheme="minorEastAsia"/>
          <w:szCs w:val="20"/>
          <w:lang w:val="en-US"/>
        </w:rPr>
      </w:pPr>
      <w:bookmarkStart w:id="27" w:name="_Hlk5169896"/>
      <w:r w:rsidRPr="0059317C">
        <w:rPr>
          <w:rFonts w:eastAsia="Times New Roman"/>
          <w:szCs w:val="20"/>
          <w:lang w:val="en-US"/>
        </w:rPr>
        <w:t>I</w:t>
      </w:r>
      <w:r w:rsidR="002A331F" w:rsidRPr="0059317C">
        <w:rPr>
          <w:rFonts w:eastAsia="Times New Roman"/>
          <w:szCs w:val="20"/>
          <w:lang w:val="en-US"/>
        </w:rPr>
        <w:t xml:space="preserve">f Goren was </w:t>
      </w:r>
      <w:r w:rsidR="00535A9E">
        <w:rPr>
          <w:rFonts w:eastAsia="Times New Roman"/>
          <w:szCs w:val="20"/>
          <w:lang w:val="en-US"/>
        </w:rPr>
        <w:t xml:space="preserve">unconvinced </w:t>
      </w:r>
      <w:r w:rsidR="0037646F">
        <w:rPr>
          <w:rFonts w:eastAsia="Times New Roman"/>
          <w:szCs w:val="20"/>
          <w:lang w:val="en-US"/>
        </w:rPr>
        <w:t xml:space="preserve">by the </w:t>
      </w:r>
      <w:r w:rsidR="0037646F" w:rsidRPr="0059317C">
        <w:rPr>
          <w:rFonts w:eastAsia="Times New Roman"/>
          <w:szCs w:val="20"/>
          <w:lang w:val="en-US"/>
        </w:rPr>
        <w:t xml:space="preserve">NAA results </w:t>
      </w:r>
      <w:r w:rsidR="0037646F">
        <w:rPr>
          <w:rFonts w:eastAsia="Times New Roman"/>
          <w:szCs w:val="20"/>
          <w:lang w:val="en-US"/>
        </w:rPr>
        <w:t xml:space="preserve">for the </w:t>
      </w:r>
      <w:r w:rsidR="00E13014">
        <w:rPr>
          <w:rFonts w:eastAsia="Times New Roman"/>
          <w:szCs w:val="20"/>
          <w:lang w:val="en-US"/>
        </w:rPr>
        <w:t xml:space="preserve">southern </w:t>
      </w:r>
      <w:r w:rsidR="0037646F">
        <w:rPr>
          <w:rFonts w:eastAsia="Times New Roman"/>
          <w:szCs w:val="20"/>
          <w:lang w:val="en-US"/>
        </w:rPr>
        <w:t xml:space="preserve">Levantine origin of the </w:t>
      </w:r>
      <w:r w:rsidR="0037646F" w:rsidRPr="0059317C">
        <w:rPr>
          <w:rFonts w:eastAsia="Times New Roman"/>
          <w:szCs w:val="20"/>
          <w:lang w:val="en-US"/>
        </w:rPr>
        <w:t xml:space="preserve">Scorpion I wine jars </w:t>
      </w:r>
      <w:r w:rsidR="002A331F" w:rsidRPr="0059317C">
        <w:rPr>
          <w:rFonts w:eastAsia="Times New Roman"/>
          <w:szCs w:val="20"/>
          <w:lang w:val="en-US"/>
        </w:rPr>
        <w:t>, then one wonders whether a</w:t>
      </w:r>
      <w:r w:rsidRPr="0059317C">
        <w:rPr>
          <w:rFonts w:eastAsia="Times New Roman"/>
          <w:szCs w:val="20"/>
          <w:lang w:val="en-US"/>
        </w:rPr>
        <w:t xml:space="preserve"> follow-up </w:t>
      </w:r>
      <w:r w:rsidR="002A331F" w:rsidRPr="0059317C">
        <w:rPr>
          <w:rFonts w:eastAsia="Times New Roman"/>
          <w:szCs w:val="20"/>
          <w:lang w:val="en-US"/>
        </w:rPr>
        <w:t xml:space="preserve">study </w:t>
      </w:r>
      <w:r w:rsidR="000A271C">
        <w:rPr>
          <w:rFonts w:eastAsia="Times New Roman"/>
          <w:szCs w:val="20"/>
          <w:lang w:val="en-US"/>
        </w:rPr>
        <w:t>by another petrographer</w:t>
      </w:r>
      <w:r w:rsidR="00D26D8F">
        <w:rPr>
          <w:rFonts w:eastAsia="Times New Roman"/>
          <w:szCs w:val="20"/>
          <w:lang w:val="en-US"/>
        </w:rPr>
        <w:t xml:space="preserve">, </w:t>
      </w:r>
      <w:r w:rsidR="00D26D8F">
        <w:t>Dr. Mary Ownby,</w:t>
      </w:r>
      <w:r w:rsidR="000A271C">
        <w:rPr>
          <w:rFonts w:eastAsia="Times New Roman"/>
          <w:szCs w:val="20"/>
          <w:lang w:val="en-US"/>
        </w:rPr>
        <w:t xml:space="preserve"> </w:t>
      </w:r>
      <w:r w:rsidR="006B5689" w:rsidRPr="0059317C">
        <w:rPr>
          <w:rFonts w:eastAsia="Times New Roman"/>
          <w:szCs w:val="20"/>
          <w:lang w:val="en-US"/>
        </w:rPr>
        <w:t xml:space="preserve">that disprove </w:t>
      </w:r>
      <w:r w:rsidR="001A0ED8" w:rsidRPr="0059317C">
        <w:rPr>
          <w:rFonts w:eastAsia="Times New Roman"/>
          <w:szCs w:val="20"/>
          <w:lang w:val="en-US"/>
        </w:rPr>
        <w:t>his</w:t>
      </w:r>
      <w:r w:rsidR="006B5689" w:rsidRPr="0059317C">
        <w:rPr>
          <w:rFonts w:eastAsia="Times New Roman"/>
          <w:szCs w:val="20"/>
          <w:lang w:val="en-US"/>
        </w:rPr>
        <w:t xml:space="preserve"> hypothesis </w:t>
      </w:r>
      <w:r w:rsidR="00C75ECE">
        <w:rPr>
          <w:rFonts w:eastAsia="Times New Roman"/>
          <w:szCs w:val="20"/>
          <w:lang w:val="en-US"/>
        </w:rPr>
        <w:t>i</w:t>
      </w:r>
      <w:r w:rsidR="006B5689" w:rsidRPr="0059317C">
        <w:rPr>
          <w:rFonts w:eastAsia="Times New Roman"/>
          <w:szCs w:val="20"/>
          <w:lang w:val="en-US"/>
        </w:rPr>
        <w:t>s more persuasive?</w:t>
      </w:r>
      <w:bookmarkStart w:id="28" w:name="_Ref7084482"/>
      <w:r w:rsidR="006B5689" w:rsidRPr="0059317C">
        <w:rPr>
          <w:rStyle w:val="FootnoteReference"/>
          <w:rFonts w:eastAsia="Times New Roman"/>
          <w:szCs w:val="20"/>
          <w:lang w:val="en-US"/>
        </w:rPr>
        <w:footnoteReference w:id="27"/>
      </w:r>
      <w:bookmarkEnd w:id="28"/>
      <w:r w:rsidR="006B5689" w:rsidRPr="0059317C">
        <w:rPr>
          <w:rFonts w:eastAsia="Times New Roman"/>
          <w:szCs w:val="20"/>
          <w:lang w:val="en-US"/>
        </w:rPr>
        <w:t xml:space="preserve">  </w:t>
      </w:r>
      <w:bookmarkStart w:id="30" w:name="_Hlk6640247"/>
      <w:r w:rsidR="00271A53" w:rsidRPr="0059317C">
        <w:rPr>
          <w:rFonts w:eastAsia="Times New Roman"/>
          <w:szCs w:val="20"/>
          <w:lang w:val="en-US"/>
        </w:rPr>
        <w:t>Regrettably</w:t>
      </w:r>
      <w:r w:rsidR="006B5689" w:rsidRPr="0059317C">
        <w:rPr>
          <w:rFonts w:eastAsia="Times New Roman"/>
          <w:szCs w:val="20"/>
          <w:lang w:val="en-US"/>
        </w:rPr>
        <w:t>, th</w:t>
      </w:r>
      <w:r w:rsidR="00684A80">
        <w:rPr>
          <w:rFonts w:eastAsia="Times New Roman"/>
          <w:szCs w:val="20"/>
          <w:lang w:val="en-US"/>
        </w:rPr>
        <w:t>e latter</w:t>
      </w:r>
      <w:r w:rsidR="006B5689" w:rsidRPr="0059317C">
        <w:rPr>
          <w:rFonts w:eastAsia="Times New Roman"/>
          <w:szCs w:val="20"/>
          <w:lang w:val="en-US"/>
        </w:rPr>
        <w:t xml:space="preserve"> study is </w:t>
      </w:r>
      <w:r w:rsidR="00316FF2" w:rsidRPr="0059317C">
        <w:rPr>
          <w:rFonts w:eastAsia="Times New Roman"/>
          <w:szCs w:val="20"/>
          <w:lang w:val="en-US"/>
        </w:rPr>
        <w:t xml:space="preserve">also methodologically flawed by its very small database (a total of 20 sherds for several </w:t>
      </w:r>
      <w:r w:rsidR="000A271C">
        <w:rPr>
          <w:rFonts w:eastAsia="Times New Roman"/>
          <w:szCs w:val="20"/>
          <w:lang w:val="en-US"/>
        </w:rPr>
        <w:t>EB</w:t>
      </w:r>
      <w:r w:rsidR="00316FF2" w:rsidRPr="0059317C">
        <w:rPr>
          <w:rFonts w:eastAsia="Times New Roman"/>
          <w:szCs w:val="20"/>
          <w:lang w:val="en-US"/>
        </w:rPr>
        <w:t xml:space="preserve"> periods</w:t>
      </w:r>
      <w:r w:rsidR="006E5084" w:rsidRPr="0059317C">
        <w:rPr>
          <w:rFonts w:eastAsia="Times New Roman"/>
          <w:szCs w:val="20"/>
          <w:lang w:val="en-US"/>
        </w:rPr>
        <w:t xml:space="preserve"> </w:t>
      </w:r>
      <w:r w:rsidR="003847EA" w:rsidRPr="0059317C">
        <w:rPr>
          <w:rFonts w:eastAsia="Times New Roman"/>
          <w:szCs w:val="20"/>
          <w:lang w:val="en-US"/>
        </w:rPr>
        <w:t xml:space="preserve">and </w:t>
      </w:r>
      <w:r w:rsidR="00316FF2" w:rsidRPr="0059317C">
        <w:rPr>
          <w:rFonts w:eastAsia="Times New Roman"/>
          <w:szCs w:val="20"/>
          <w:lang w:val="en-US"/>
        </w:rPr>
        <w:t>on</w:t>
      </w:r>
      <w:r w:rsidR="006E5084" w:rsidRPr="0059317C">
        <w:rPr>
          <w:rFonts w:eastAsia="Times New Roman"/>
          <w:szCs w:val="20"/>
          <w:lang w:val="en-US"/>
        </w:rPr>
        <w:t>ly</w:t>
      </w:r>
      <w:r w:rsidR="00316FF2" w:rsidRPr="0059317C">
        <w:rPr>
          <w:rFonts w:eastAsia="Times New Roman"/>
          <w:szCs w:val="20"/>
          <w:lang w:val="en-US"/>
        </w:rPr>
        <w:t xml:space="preserve"> </w:t>
      </w:r>
      <w:r w:rsidR="002075A4" w:rsidRPr="0059317C">
        <w:rPr>
          <w:rFonts w:eastAsia="Times New Roman"/>
          <w:szCs w:val="20"/>
          <w:lang w:val="en-US"/>
        </w:rPr>
        <w:t xml:space="preserve">four </w:t>
      </w:r>
      <w:r w:rsidR="005C1A4D" w:rsidRPr="0059317C">
        <w:rPr>
          <w:rFonts w:eastAsia="Times New Roman"/>
          <w:szCs w:val="20"/>
          <w:lang w:val="en-US"/>
        </w:rPr>
        <w:t xml:space="preserve"> </w:t>
      </w:r>
      <w:r w:rsidR="009F576A" w:rsidRPr="0059317C">
        <w:rPr>
          <w:rFonts w:eastAsia="Times New Roman"/>
          <w:szCs w:val="20"/>
          <w:lang w:val="en-US"/>
        </w:rPr>
        <w:t>U-j</w:t>
      </w:r>
      <w:r w:rsidR="002075A4" w:rsidRPr="0059317C">
        <w:rPr>
          <w:rFonts w:eastAsia="Times New Roman"/>
          <w:szCs w:val="20"/>
          <w:lang w:val="en-US"/>
        </w:rPr>
        <w:t xml:space="preserve"> jars</w:t>
      </w:r>
      <w:bookmarkEnd w:id="30"/>
      <w:r w:rsidR="009F576A" w:rsidRPr="0059317C">
        <w:rPr>
          <w:rFonts w:eastAsia="Times New Roman"/>
          <w:szCs w:val="20"/>
          <w:lang w:val="en-US"/>
        </w:rPr>
        <w:t>, also</w:t>
      </w:r>
      <w:r w:rsidR="007752F2" w:rsidRPr="0059317C">
        <w:rPr>
          <w:rFonts w:eastAsia="Times New Roman"/>
          <w:szCs w:val="20"/>
          <w:lang w:val="en-US"/>
        </w:rPr>
        <w:t xml:space="preserve"> </w:t>
      </w:r>
      <w:r w:rsidR="009F576A" w:rsidRPr="0059317C">
        <w:rPr>
          <w:rFonts w:eastAsia="Times New Roman"/>
          <w:szCs w:val="20"/>
          <w:lang w:val="en-US"/>
        </w:rPr>
        <w:t xml:space="preserve">analyzed by </w:t>
      </w:r>
      <w:r w:rsidR="007752F2" w:rsidRPr="0059317C">
        <w:rPr>
          <w:rFonts w:eastAsia="Times New Roman"/>
          <w:szCs w:val="20"/>
          <w:lang w:val="en-US"/>
        </w:rPr>
        <w:t>Porat and Goren</w:t>
      </w:r>
      <w:r w:rsidR="00316FF2" w:rsidRPr="0059317C">
        <w:rPr>
          <w:rFonts w:eastAsia="Times New Roman"/>
          <w:szCs w:val="20"/>
          <w:lang w:val="en-US"/>
        </w:rPr>
        <w:t>)</w:t>
      </w:r>
      <w:r w:rsidR="003847EA" w:rsidRPr="0059317C">
        <w:rPr>
          <w:rFonts w:eastAsia="Times New Roman"/>
          <w:szCs w:val="20"/>
          <w:lang w:val="en-US"/>
        </w:rPr>
        <w:t>.  N</w:t>
      </w:r>
      <w:r w:rsidR="009F576A" w:rsidRPr="0059317C">
        <w:rPr>
          <w:rFonts w:eastAsiaTheme="minorEastAsia"/>
          <w:szCs w:val="20"/>
          <w:lang w:val="en-US"/>
        </w:rPr>
        <w:t xml:space="preserve">o clay </w:t>
      </w:r>
      <w:r w:rsidR="000A271C">
        <w:rPr>
          <w:rFonts w:eastAsiaTheme="minorEastAsia"/>
          <w:szCs w:val="20"/>
          <w:lang w:val="en-US"/>
        </w:rPr>
        <w:t>or</w:t>
      </w:r>
      <w:r w:rsidR="009F576A" w:rsidRPr="0059317C">
        <w:rPr>
          <w:rFonts w:eastAsiaTheme="minorEastAsia"/>
          <w:szCs w:val="20"/>
          <w:lang w:val="en-US"/>
        </w:rPr>
        <w:t xml:space="preserve"> mineral collection</w:t>
      </w:r>
      <w:r w:rsidR="000A271C">
        <w:rPr>
          <w:rFonts w:eastAsiaTheme="minorEastAsia"/>
          <w:szCs w:val="20"/>
          <w:lang w:val="en-US"/>
        </w:rPr>
        <w:t>s</w:t>
      </w:r>
      <w:r w:rsidR="009F576A" w:rsidRPr="0059317C">
        <w:rPr>
          <w:rFonts w:eastAsiaTheme="minorEastAsia"/>
          <w:szCs w:val="20"/>
          <w:lang w:val="en-US"/>
        </w:rPr>
        <w:t xml:space="preserve"> </w:t>
      </w:r>
      <w:r w:rsidR="00035E0B" w:rsidRPr="0059317C">
        <w:rPr>
          <w:rFonts w:eastAsiaTheme="minorEastAsia"/>
          <w:szCs w:val="20"/>
          <w:lang w:val="en-US"/>
        </w:rPr>
        <w:t>w</w:t>
      </w:r>
      <w:r w:rsidR="000A271C">
        <w:rPr>
          <w:rFonts w:eastAsiaTheme="minorEastAsia"/>
          <w:szCs w:val="20"/>
          <w:lang w:val="en-US"/>
        </w:rPr>
        <w:t>ere</w:t>
      </w:r>
      <w:r w:rsidR="00035E0B" w:rsidRPr="0059317C">
        <w:rPr>
          <w:rFonts w:eastAsiaTheme="minorEastAsia"/>
          <w:szCs w:val="20"/>
          <w:lang w:val="en-US"/>
        </w:rPr>
        <w:t xml:space="preserve"> done </w:t>
      </w:r>
      <w:r w:rsidR="009F576A" w:rsidRPr="0059317C">
        <w:rPr>
          <w:rFonts w:eastAsiaTheme="minorEastAsia"/>
          <w:szCs w:val="20"/>
          <w:lang w:val="en-US"/>
        </w:rPr>
        <w:t>in the field for comparison</w:t>
      </w:r>
      <w:r w:rsidR="003847EA" w:rsidRPr="0059317C">
        <w:rPr>
          <w:rFonts w:eastAsiaTheme="minorEastAsia"/>
          <w:szCs w:val="20"/>
          <w:lang w:val="en-US"/>
        </w:rPr>
        <w:t xml:space="preserve">, </w:t>
      </w:r>
      <w:r w:rsidR="00035E0B" w:rsidRPr="0059317C">
        <w:rPr>
          <w:rFonts w:eastAsiaTheme="minorEastAsia"/>
          <w:szCs w:val="20"/>
          <w:lang w:val="en-US"/>
        </w:rPr>
        <w:t xml:space="preserve">but instead, geological maps were referred to </w:t>
      </w:r>
      <w:r w:rsidR="0099280D" w:rsidRPr="0059317C">
        <w:rPr>
          <w:rFonts w:eastAsiaTheme="minorEastAsia"/>
          <w:szCs w:val="20"/>
          <w:lang w:val="en-US"/>
        </w:rPr>
        <w:t xml:space="preserve">in establishing </w:t>
      </w:r>
      <w:r w:rsidR="00AC36CA" w:rsidRPr="0059317C">
        <w:rPr>
          <w:rFonts w:eastAsiaTheme="minorEastAsia"/>
          <w:szCs w:val="20"/>
          <w:lang w:val="en-US"/>
        </w:rPr>
        <w:t xml:space="preserve">the putative region of origin, </w:t>
      </w:r>
      <w:r w:rsidR="0099280D" w:rsidRPr="0059317C">
        <w:rPr>
          <w:rFonts w:eastAsiaTheme="minorEastAsia"/>
          <w:szCs w:val="20"/>
          <w:lang w:val="en-US"/>
        </w:rPr>
        <w:t xml:space="preserve">viz., </w:t>
      </w:r>
      <w:r w:rsidR="00BD2768" w:rsidRPr="0059317C">
        <w:rPr>
          <w:rFonts w:eastAsia="Times New Roman"/>
          <w:szCs w:val="20"/>
          <w:lang w:val="en-US"/>
        </w:rPr>
        <w:t>the northern Levantine coastline, specifically Byblos</w:t>
      </w:r>
      <w:r w:rsidR="00AC36CA" w:rsidRPr="0059317C">
        <w:rPr>
          <w:rFonts w:eastAsia="Times New Roman"/>
          <w:szCs w:val="20"/>
          <w:lang w:val="en-US"/>
        </w:rPr>
        <w:t xml:space="preserve">.  Since </w:t>
      </w:r>
      <w:r w:rsidR="008B3423" w:rsidRPr="0059317C">
        <w:rPr>
          <w:rFonts w:eastAsia="Times New Roman"/>
          <w:szCs w:val="20"/>
          <w:lang w:val="en-US"/>
        </w:rPr>
        <w:t>most of the text was written by an associate of Bietak at the Institute of Egyptology at the University of Vienna</w:t>
      </w:r>
      <w:r w:rsidR="00FF221B" w:rsidRPr="0059317C">
        <w:rPr>
          <w:rFonts w:eastAsia="Times New Roman"/>
          <w:szCs w:val="20"/>
          <w:lang w:val="en-US"/>
        </w:rPr>
        <w:t xml:space="preserve"> and published in his journal</w:t>
      </w:r>
      <w:r w:rsidR="00564816" w:rsidRPr="0059317C">
        <w:rPr>
          <w:rFonts w:eastAsia="Times New Roman"/>
          <w:szCs w:val="20"/>
          <w:lang w:val="en-US"/>
        </w:rPr>
        <w:t>, it</w:t>
      </w:r>
      <w:r w:rsidR="00FF221B" w:rsidRPr="0059317C">
        <w:rPr>
          <w:rFonts w:eastAsia="Times New Roman"/>
          <w:szCs w:val="20"/>
          <w:lang w:val="en-US"/>
        </w:rPr>
        <w:t xml:space="preserve"> is</w:t>
      </w:r>
      <w:r w:rsidR="00564816" w:rsidRPr="0059317C">
        <w:rPr>
          <w:rFonts w:eastAsia="Times New Roman"/>
          <w:szCs w:val="20"/>
          <w:lang w:val="en-US"/>
        </w:rPr>
        <w:t xml:space="preserve"> perhaps to be expected that they would discover their provenances in this region.  While I </w:t>
      </w:r>
      <w:r w:rsidR="000A271C">
        <w:rPr>
          <w:rFonts w:eastAsia="Times New Roman"/>
          <w:szCs w:val="20"/>
          <w:lang w:val="en-US"/>
        </w:rPr>
        <w:t xml:space="preserve">might </w:t>
      </w:r>
      <w:r w:rsidR="00564816" w:rsidRPr="0059317C">
        <w:rPr>
          <w:rFonts w:eastAsiaTheme="minorEastAsia"/>
          <w:szCs w:val="20"/>
          <w:lang w:val="en-US"/>
        </w:rPr>
        <w:t xml:space="preserve">wish it were so, having long argued that the Canaanites and Phoenicians of this region were the principle conduit for viniculture throughout the Mediterranean (most recently, in the new edition of </w:t>
      </w:r>
      <w:r w:rsidR="00564816" w:rsidRPr="0059317C">
        <w:rPr>
          <w:rFonts w:eastAsiaTheme="minorEastAsia"/>
          <w:i/>
          <w:szCs w:val="20"/>
          <w:lang w:val="en-US"/>
        </w:rPr>
        <w:t>Ancient Wine</w:t>
      </w:r>
      <w:r w:rsidR="004A6CDA" w:rsidRPr="00F473C6">
        <w:rPr>
          <w:rFonts w:eastAsiaTheme="minorEastAsia"/>
          <w:szCs w:val="20"/>
          <w:vertAlign w:val="superscript"/>
          <w:lang w:val="en-US"/>
        </w:rPr>
        <w:fldChar w:fldCharType="begin"/>
      </w:r>
      <w:r w:rsidR="004A6CDA" w:rsidRPr="00F473C6">
        <w:rPr>
          <w:rFonts w:eastAsiaTheme="minorEastAsia"/>
          <w:szCs w:val="20"/>
          <w:vertAlign w:val="superscript"/>
          <w:lang w:val="en-US"/>
        </w:rPr>
        <w:instrText xml:space="preserve"> NOTEREF _Ref7065234 </w:instrText>
      </w:r>
      <w:r w:rsidR="00F473C6">
        <w:rPr>
          <w:rFonts w:eastAsiaTheme="minorEastAsia"/>
          <w:szCs w:val="20"/>
          <w:vertAlign w:val="superscript"/>
          <w:lang w:val="en-US"/>
        </w:rPr>
        <w:instrText xml:space="preserve"> \* MERGEFORMAT </w:instrText>
      </w:r>
      <w:r w:rsidR="004A6CDA" w:rsidRPr="00F473C6">
        <w:rPr>
          <w:rFonts w:eastAsiaTheme="minorEastAsia"/>
          <w:szCs w:val="20"/>
          <w:vertAlign w:val="superscript"/>
          <w:lang w:val="en-US"/>
        </w:rPr>
        <w:fldChar w:fldCharType="separate"/>
      </w:r>
      <w:r w:rsidR="004A6CDA" w:rsidRPr="00F473C6">
        <w:rPr>
          <w:rFonts w:eastAsiaTheme="minorEastAsia"/>
          <w:szCs w:val="20"/>
          <w:vertAlign w:val="superscript"/>
          <w:lang w:val="en-US"/>
        </w:rPr>
        <w:t>5</w:t>
      </w:r>
      <w:r w:rsidR="004A6CDA" w:rsidRPr="00F473C6">
        <w:rPr>
          <w:rFonts w:eastAsiaTheme="minorEastAsia"/>
          <w:szCs w:val="20"/>
          <w:vertAlign w:val="superscript"/>
          <w:lang w:val="en-US"/>
        </w:rPr>
        <w:fldChar w:fldCharType="end"/>
      </w:r>
      <w:r w:rsidR="000A271C">
        <w:rPr>
          <w:rFonts w:eastAsiaTheme="minorEastAsia"/>
          <w:szCs w:val="20"/>
          <w:lang w:val="en-US"/>
        </w:rPr>
        <w:t xml:space="preserve">), </w:t>
      </w:r>
      <w:r w:rsidR="00FF221B" w:rsidRPr="0059317C">
        <w:rPr>
          <w:rFonts w:eastAsiaTheme="minorEastAsia"/>
          <w:szCs w:val="20"/>
          <w:lang w:val="en-US"/>
        </w:rPr>
        <w:t xml:space="preserve">the NAA </w:t>
      </w:r>
      <w:r w:rsidR="000A271C" w:rsidRPr="0059317C">
        <w:rPr>
          <w:rFonts w:eastAsiaTheme="minorEastAsia"/>
          <w:szCs w:val="20"/>
          <w:lang w:val="en-US"/>
        </w:rPr>
        <w:t xml:space="preserve">results </w:t>
      </w:r>
      <w:r w:rsidR="00FF221B" w:rsidRPr="0059317C">
        <w:rPr>
          <w:rFonts w:eastAsiaTheme="minorEastAsia"/>
          <w:szCs w:val="20"/>
          <w:lang w:val="en-US"/>
        </w:rPr>
        <w:t xml:space="preserve">show no matches, not even a </w:t>
      </w:r>
      <w:r w:rsidR="000317EA" w:rsidRPr="0059317C">
        <w:rPr>
          <w:rFonts w:eastAsiaTheme="minorEastAsia"/>
          <w:szCs w:val="20"/>
          <w:lang w:val="en-US"/>
        </w:rPr>
        <w:t xml:space="preserve">slight chemical hint, for a northern Levantine provenance. </w:t>
      </w:r>
      <w:r w:rsidR="00FF221B" w:rsidRPr="0059317C">
        <w:rPr>
          <w:rFonts w:eastAsiaTheme="minorEastAsia"/>
          <w:szCs w:val="20"/>
          <w:lang w:val="en-US"/>
        </w:rPr>
        <w:t xml:space="preserve"> </w:t>
      </w:r>
      <w:r w:rsidR="00D26D8F">
        <w:rPr>
          <w:rFonts w:eastAsiaTheme="minorEastAsia"/>
          <w:szCs w:val="20"/>
          <w:lang w:val="en-US"/>
        </w:rPr>
        <w:t xml:space="preserve">Admittedly, however, </w:t>
      </w:r>
      <w:r w:rsidR="000A271C" w:rsidRPr="0059317C">
        <w:rPr>
          <w:rFonts w:eastAsiaTheme="minorEastAsia"/>
          <w:szCs w:val="20"/>
          <w:lang w:val="en-US"/>
        </w:rPr>
        <w:t>sample</w:t>
      </w:r>
      <w:r w:rsidR="00D26D8F">
        <w:rPr>
          <w:rFonts w:eastAsiaTheme="minorEastAsia"/>
          <w:szCs w:val="20"/>
          <w:lang w:val="en-US"/>
        </w:rPr>
        <w:t>s were taken</w:t>
      </w:r>
      <w:r w:rsidR="000A271C" w:rsidRPr="0059317C">
        <w:rPr>
          <w:rFonts w:eastAsiaTheme="minorEastAsia"/>
          <w:szCs w:val="20"/>
          <w:lang w:val="en-US"/>
        </w:rPr>
        <w:t xml:space="preserve"> from different jars</w:t>
      </w:r>
      <w:r w:rsidR="00D26D8F">
        <w:rPr>
          <w:rFonts w:eastAsiaTheme="minorEastAsia"/>
          <w:szCs w:val="20"/>
          <w:lang w:val="en-US"/>
        </w:rPr>
        <w:t xml:space="preserve"> in the </w:t>
      </w:r>
      <w:r w:rsidR="00D26D8F">
        <w:rPr>
          <w:rFonts w:eastAsiaTheme="minorEastAsia"/>
          <w:szCs w:val="20"/>
          <w:lang w:val="en-US"/>
        </w:rPr>
        <w:lastRenderedPageBreak/>
        <w:t xml:space="preserve">follow-up study by Dr. Ownby than those tested bt BAA.  </w:t>
      </w:r>
      <w:r w:rsidR="000317EA" w:rsidRPr="0059317C">
        <w:rPr>
          <w:rFonts w:eastAsiaTheme="minorEastAsia"/>
          <w:szCs w:val="20"/>
          <w:lang w:val="en-US"/>
        </w:rPr>
        <w:t>Meanwhile, the evidence for winemaking</w:t>
      </w:r>
      <w:r w:rsidR="00920B8A" w:rsidRPr="0059317C">
        <w:rPr>
          <w:rFonts w:eastAsiaTheme="minorEastAsia"/>
          <w:szCs w:val="20"/>
          <w:lang w:val="en-US"/>
        </w:rPr>
        <w:t xml:space="preserve"> and</w:t>
      </w:r>
      <w:r w:rsidR="000317EA" w:rsidRPr="0059317C">
        <w:rPr>
          <w:rFonts w:eastAsiaTheme="minorEastAsia"/>
          <w:szCs w:val="20"/>
          <w:lang w:val="en-US"/>
        </w:rPr>
        <w:t xml:space="preserve"> pottery and sealing parallels to the Scorpion I jar</w:t>
      </w:r>
      <w:r w:rsidR="00920B8A" w:rsidRPr="0059317C">
        <w:rPr>
          <w:rFonts w:eastAsiaTheme="minorEastAsia"/>
          <w:szCs w:val="20"/>
          <w:lang w:val="en-US"/>
        </w:rPr>
        <w:t xml:space="preserve">s </w:t>
      </w:r>
      <w:r w:rsidR="000317EA" w:rsidRPr="0059317C">
        <w:rPr>
          <w:rFonts w:eastAsiaTheme="minorEastAsia"/>
          <w:szCs w:val="20"/>
          <w:lang w:val="en-US"/>
        </w:rPr>
        <w:t>continue</w:t>
      </w:r>
      <w:r w:rsidR="00920B8A" w:rsidRPr="0059317C">
        <w:rPr>
          <w:rFonts w:eastAsiaTheme="minorEastAsia"/>
          <w:szCs w:val="20"/>
          <w:lang w:val="en-US"/>
        </w:rPr>
        <w:t xml:space="preserve"> to accumulate for the southern Levant</w:t>
      </w:r>
      <w:r w:rsidR="001A0ED8" w:rsidRPr="0059317C">
        <w:rPr>
          <w:rFonts w:eastAsiaTheme="minorEastAsia"/>
          <w:szCs w:val="20"/>
          <w:lang w:val="en-US"/>
        </w:rPr>
        <w:t>.</w:t>
      </w:r>
    </w:p>
    <w:bookmarkEnd w:id="27"/>
    <w:p w14:paraId="660D35CE" w14:textId="77777777" w:rsidR="00C55596" w:rsidRPr="0059317C" w:rsidRDefault="00CD14A4" w:rsidP="00CD14A4">
      <w:pPr>
        <w:widowControl w:val="0"/>
        <w:autoSpaceDE w:val="0"/>
        <w:autoSpaceDN w:val="0"/>
        <w:adjustRightInd w:val="0"/>
        <w:spacing w:after="0" w:line="240" w:lineRule="auto"/>
        <w:rPr>
          <w:rFonts w:eastAsiaTheme="minorEastAsia"/>
          <w:szCs w:val="20"/>
          <w:lang w:val="en-US"/>
        </w:rPr>
      </w:pPr>
      <w:r w:rsidRPr="0059317C">
        <w:rPr>
          <w:rFonts w:eastAsiaTheme="minorEastAsia"/>
          <w:szCs w:val="20"/>
          <w:lang w:val="en-US"/>
        </w:rPr>
        <w:t xml:space="preserve">.  </w:t>
      </w:r>
    </w:p>
    <w:p w14:paraId="23D60477" w14:textId="3BDA634B" w:rsidR="00DA5576" w:rsidRPr="0059317C" w:rsidRDefault="00242F35" w:rsidP="00DA5576">
      <w:pPr>
        <w:widowControl w:val="0"/>
        <w:autoSpaceDE w:val="0"/>
        <w:autoSpaceDN w:val="0"/>
        <w:adjustRightInd w:val="0"/>
        <w:spacing w:after="0" w:line="240" w:lineRule="auto"/>
        <w:rPr>
          <w:rFonts w:eastAsiaTheme="minorEastAsia"/>
          <w:szCs w:val="20"/>
          <w:lang w:val="en-US"/>
        </w:rPr>
      </w:pPr>
      <w:r w:rsidRPr="0059317C">
        <w:rPr>
          <w:rFonts w:eastAsiaTheme="minorEastAsia"/>
          <w:szCs w:val="20"/>
          <w:lang w:val="en-US"/>
        </w:rPr>
        <w:t>Unfortunately, many others, especially those in the Bietak/Dab`a camp</w:t>
      </w:r>
      <w:r w:rsidR="002837A1" w:rsidRPr="0059317C">
        <w:rPr>
          <w:rFonts w:eastAsiaTheme="minorEastAsia"/>
          <w:szCs w:val="20"/>
          <w:lang w:val="en-US"/>
        </w:rPr>
        <w:t xml:space="preserve"> but also including </w:t>
      </w:r>
      <w:r w:rsidR="00FE1655">
        <w:rPr>
          <w:rFonts w:eastAsiaTheme="minorEastAsia"/>
          <w:szCs w:val="20"/>
          <w:lang w:val="en-US"/>
        </w:rPr>
        <w:t xml:space="preserve">other </w:t>
      </w:r>
      <w:r w:rsidR="002837A1" w:rsidRPr="0059317C">
        <w:rPr>
          <w:rFonts w:eastAsiaTheme="minorEastAsia"/>
          <w:szCs w:val="20"/>
          <w:lang w:val="en-US"/>
        </w:rPr>
        <w:t>archaeological petrographers</w:t>
      </w:r>
      <w:r w:rsidRPr="0059317C">
        <w:rPr>
          <w:rFonts w:eastAsiaTheme="minorEastAsia"/>
          <w:szCs w:val="20"/>
          <w:lang w:val="en-US"/>
        </w:rPr>
        <w:t>,</w:t>
      </w:r>
      <w:r w:rsidR="002837A1" w:rsidRPr="0059317C">
        <w:rPr>
          <w:rStyle w:val="FootnoteReference"/>
          <w:rFonts w:eastAsiaTheme="minorEastAsia"/>
          <w:szCs w:val="20"/>
          <w:lang w:val="en-US"/>
        </w:rPr>
        <w:footnoteReference w:id="28"/>
      </w:r>
      <w:r w:rsidRPr="0059317C">
        <w:rPr>
          <w:rFonts w:eastAsiaTheme="minorEastAsia"/>
          <w:szCs w:val="20"/>
          <w:lang w:val="en-US"/>
        </w:rPr>
        <w:t xml:space="preserve"> have </w:t>
      </w:r>
      <w:r w:rsidR="004A1D74" w:rsidRPr="0059317C">
        <w:rPr>
          <w:rFonts w:eastAsiaTheme="minorEastAsia"/>
          <w:szCs w:val="20"/>
          <w:lang w:val="en-US"/>
        </w:rPr>
        <w:t xml:space="preserve">uncritically </w:t>
      </w:r>
      <w:r w:rsidRPr="0059317C">
        <w:rPr>
          <w:rFonts w:eastAsiaTheme="minorEastAsia"/>
          <w:szCs w:val="20"/>
          <w:lang w:val="en-US"/>
        </w:rPr>
        <w:t xml:space="preserve">accepted </w:t>
      </w:r>
      <w:r w:rsidR="004A1D74" w:rsidRPr="0059317C">
        <w:rPr>
          <w:rFonts w:eastAsiaTheme="minorEastAsia"/>
          <w:szCs w:val="20"/>
          <w:lang w:val="en-US"/>
        </w:rPr>
        <w:t xml:space="preserve">Goren and Aston’s </w:t>
      </w:r>
      <w:r w:rsidR="002837A1" w:rsidRPr="0059317C">
        <w:rPr>
          <w:rFonts w:eastAsiaTheme="minorEastAsia"/>
          <w:szCs w:val="20"/>
          <w:lang w:val="en-US"/>
        </w:rPr>
        <w:t>arguments and conclusions.</w:t>
      </w:r>
      <w:r w:rsidR="00027293" w:rsidRPr="0059317C">
        <w:rPr>
          <w:rFonts w:eastAsiaTheme="minorEastAsia"/>
          <w:szCs w:val="20"/>
          <w:lang w:val="en-US"/>
        </w:rPr>
        <w:t xml:space="preserve"> </w:t>
      </w:r>
      <w:r w:rsidR="004A1D74" w:rsidRPr="0059317C">
        <w:rPr>
          <w:rFonts w:eastAsiaTheme="minorEastAsia"/>
          <w:szCs w:val="20"/>
          <w:lang w:val="en-US"/>
        </w:rPr>
        <w:t xml:space="preserve"> </w:t>
      </w:r>
      <w:r w:rsidR="009E22C0" w:rsidRPr="0059317C">
        <w:rPr>
          <w:rFonts w:eastAsiaTheme="minorEastAsia"/>
          <w:szCs w:val="20"/>
          <w:lang w:val="en-US"/>
        </w:rPr>
        <w:t>The latest critique</w:t>
      </w:r>
      <w:r w:rsidR="00992FFB" w:rsidRPr="0059317C">
        <w:rPr>
          <w:rFonts w:eastAsiaTheme="minorEastAsia"/>
          <w:szCs w:val="20"/>
          <w:lang w:val="en-US"/>
        </w:rPr>
        <w:t xml:space="preserve"> </w:t>
      </w:r>
      <w:r w:rsidR="00941469" w:rsidRPr="0059317C">
        <w:rPr>
          <w:rFonts w:eastAsiaTheme="minorEastAsia"/>
          <w:szCs w:val="20"/>
          <w:lang w:val="en-US"/>
        </w:rPr>
        <w:t xml:space="preserve">of the NAA results in favor of the petrographic </w:t>
      </w:r>
      <w:r w:rsidR="00612A8A" w:rsidRPr="0059317C">
        <w:rPr>
          <w:rFonts w:eastAsiaTheme="minorEastAsia"/>
          <w:szCs w:val="20"/>
          <w:lang w:val="en-US"/>
        </w:rPr>
        <w:t>viewpoint</w:t>
      </w:r>
      <w:r w:rsidR="00941469" w:rsidRPr="0059317C">
        <w:rPr>
          <w:rFonts w:eastAsiaTheme="minorEastAsia"/>
          <w:szCs w:val="20"/>
          <w:lang w:val="en-US"/>
        </w:rPr>
        <w:t xml:space="preserve"> </w:t>
      </w:r>
      <w:r w:rsidR="009E22C0" w:rsidRPr="0059317C">
        <w:rPr>
          <w:rFonts w:eastAsiaTheme="minorEastAsia"/>
          <w:szCs w:val="20"/>
          <w:lang w:val="en-US"/>
        </w:rPr>
        <w:t>comes from Bietak in his review</w:t>
      </w:r>
      <w:r w:rsidR="00C4433B" w:rsidRPr="0059317C">
        <w:rPr>
          <w:rStyle w:val="FootnoteReference"/>
          <w:rFonts w:eastAsiaTheme="minorEastAsia"/>
          <w:szCs w:val="20"/>
          <w:lang w:val="en-US"/>
        </w:rPr>
        <w:footnoteReference w:id="29"/>
      </w:r>
      <w:r w:rsidR="009E22C0" w:rsidRPr="0059317C">
        <w:rPr>
          <w:rFonts w:eastAsiaTheme="minorEastAsia"/>
          <w:szCs w:val="20"/>
          <w:lang w:val="en-US"/>
        </w:rPr>
        <w:t xml:space="preserve"> of </w:t>
      </w:r>
      <w:r w:rsidR="00992FFB" w:rsidRPr="0059317C">
        <w:rPr>
          <w:rFonts w:eastAsiaTheme="minorEastAsia"/>
          <w:szCs w:val="20"/>
          <w:lang w:val="en-US"/>
        </w:rPr>
        <w:t xml:space="preserve">A.-L. Mourad’s </w:t>
      </w:r>
      <w:r w:rsidR="00AF5F9A" w:rsidRPr="0059317C">
        <w:rPr>
          <w:rFonts w:eastAsiaTheme="minorEastAsia"/>
          <w:szCs w:val="20"/>
          <w:lang w:val="en-US"/>
        </w:rPr>
        <w:t>published Ph.D. dissertation</w:t>
      </w:r>
      <w:r w:rsidR="00612A8A" w:rsidRPr="0059317C">
        <w:rPr>
          <w:rFonts w:eastAsiaTheme="minorEastAsia"/>
          <w:szCs w:val="20"/>
          <w:lang w:val="en-US"/>
        </w:rPr>
        <w:t xml:space="preserve"> from the Ancient Studies Department of Macquarie University</w:t>
      </w:r>
      <w:r w:rsidR="00637FA8" w:rsidRPr="0059317C">
        <w:rPr>
          <w:rFonts w:eastAsiaTheme="minorEastAsia"/>
          <w:szCs w:val="20"/>
          <w:lang w:val="en-US"/>
        </w:rPr>
        <w:t xml:space="preserve">. </w:t>
      </w:r>
      <w:r w:rsidR="00FE1B46" w:rsidRPr="0059317C">
        <w:rPr>
          <w:rFonts w:eastAsiaTheme="minorEastAsia"/>
          <w:szCs w:val="20"/>
          <w:lang w:val="en-US"/>
        </w:rPr>
        <w:t xml:space="preserve"> </w:t>
      </w:r>
      <w:r w:rsidR="00AF5F9A" w:rsidRPr="0059317C">
        <w:rPr>
          <w:rFonts w:eastAsiaTheme="minorEastAsia"/>
          <w:szCs w:val="20"/>
          <w:lang w:val="en-US"/>
        </w:rPr>
        <w:t>Bietak points out</w:t>
      </w:r>
      <w:r w:rsidR="00612A8A" w:rsidRPr="0059317C">
        <w:rPr>
          <w:rFonts w:eastAsiaTheme="minorEastAsia"/>
          <w:szCs w:val="20"/>
          <w:lang w:val="en-US"/>
        </w:rPr>
        <w:t xml:space="preserve"> that </w:t>
      </w:r>
      <w:r w:rsidR="00AF5F9A" w:rsidRPr="0059317C">
        <w:rPr>
          <w:rFonts w:eastAsiaTheme="minorEastAsia"/>
          <w:szCs w:val="20"/>
          <w:lang w:val="en-US"/>
        </w:rPr>
        <w:t xml:space="preserve">Mourad </w:t>
      </w:r>
      <w:r w:rsidR="00E67B24" w:rsidRPr="0059317C">
        <w:rPr>
          <w:rFonts w:eastAsiaTheme="minorEastAsia"/>
          <w:szCs w:val="20"/>
          <w:lang w:val="en-US"/>
        </w:rPr>
        <w:t xml:space="preserve">approaches </w:t>
      </w:r>
      <w:r w:rsidR="001C29D4" w:rsidRPr="0059317C">
        <w:rPr>
          <w:rFonts w:eastAsiaTheme="minorEastAsia"/>
          <w:szCs w:val="20"/>
          <w:lang w:val="en-US"/>
        </w:rPr>
        <w:t xml:space="preserve">the Hyksos question </w:t>
      </w:r>
      <w:r w:rsidR="00BC3FFF" w:rsidRPr="0059317C">
        <w:rPr>
          <w:rFonts w:eastAsiaTheme="minorEastAsia"/>
          <w:szCs w:val="20"/>
          <w:lang w:val="en-US"/>
        </w:rPr>
        <w:t>of origins</w:t>
      </w:r>
      <w:r w:rsidR="00835CAB" w:rsidRPr="0059317C">
        <w:rPr>
          <w:rFonts w:eastAsiaTheme="minorEastAsia"/>
          <w:szCs w:val="20"/>
          <w:lang w:val="en-US"/>
        </w:rPr>
        <w:t xml:space="preserve"> </w:t>
      </w:r>
      <w:r w:rsidR="001C29D4" w:rsidRPr="0059317C">
        <w:rPr>
          <w:rFonts w:eastAsiaTheme="minorEastAsia"/>
          <w:szCs w:val="20"/>
          <w:lang w:val="en-US"/>
        </w:rPr>
        <w:t xml:space="preserve">from </w:t>
      </w:r>
      <w:r w:rsidR="00BC3FFF" w:rsidRPr="0059317C">
        <w:rPr>
          <w:rFonts w:eastAsiaTheme="minorEastAsia"/>
          <w:szCs w:val="20"/>
          <w:lang w:val="en-US"/>
        </w:rPr>
        <w:t xml:space="preserve">an archaeological and textual standpoint.  </w:t>
      </w:r>
      <w:r w:rsidR="00835CAB" w:rsidRPr="0059317C">
        <w:rPr>
          <w:rFonts w:eastAsiaTheme="minorEastAsia"/>
          <w:szCs w:val="20"/>
          <w:lang w:val="en-US"/>
        </w:rPr>
        <w:t xml:space="preserve">He should have gone further </w:t>
      </w:r>
      <w:r w:rsidR="00FE1B46" w:rsidRPr="0059317C">
        <w:rPr>
          <w:rFonts w:eastAsiaTheme="minorEastAsia"/>
          <w:szCs w:val="20"/>
          <w:lang w:val="en-US"/>
        </w:rPr>
        <w:t>to say that</w:t>
      </w:r>
      <w:r w:rsidR="00835CAB" w:rsidRPr="0059317C">
        <w:rPr>
          <w:rFonts w:eastAsiaTheme="minorEastAsia"/>
          <w:szCs w:val="20"/>
          <w:lang w:val="en-US"/>
        </w:rPr>
        <w:t xml:space="preserve"> </w:t>
      </w:r>
      <w:r w:rsidR="00AB175F" w:rsidRPr="0059317C">
        <w:rPr>
          <w:rFonts w:eastAsiaTheme="minorEastAsia"/>
          <w:szCs w:val="20"/>
          <w:lang w:val="en-US"/>
        </w:rPr>
        <w:t>Mourad was trained as an Egyptologist</w:t>
      </w:r>
      <w:r w:rsidR="00835CAB" w:rsidRPr="0059317C">
        <w:rPr>
          <w:rFonts w:eastAsiaTheme="minorEastAsia"/>
          <w:szCs w:val="20"/>
          <w:lang w:val="en-US"/>
        </w:rPr>
        <w:t xml:space="preserve"> and had little training in the natural sciences</w:t>
      </w:r>
      <w:r w:rsidR="00AB175F" w:rsidRPr="0059317C">
        <w:rPr>
          <w:rFonts w:eastAsiaTheme="minorEastAsia"/>
          <w:szCs w:val="20"/>
          <w:lang w:val="en-US"/>
        </w:rPr>
        <w:t xml:space="preserve">.  </w:t>
      </w:r>
      <w:r w:rsidR="00835CAB" w:rsidRPr="0059317C">
        <w:rPr>
          <w:rFonts w:eastAsiaTheme="minorEastAsia"/>
          <w:szCs w:val="20"/>
          <w:lang w:val="en-US"/>
        </w:rPr>
        <w:t xml:space="preserve">As such, she is </w:t>
      </w:r>
      <w:r w:rsidR="009E2064">
        <w:rPr>
          <w:rFonts w:eastAsiaTheme="minorEastAsia"/>
          <w:szCs w:val="20"/>
          <w:lang w:val="en-US"/>
        </w:rPr>
        <w:t xml:space="preserve">poorly </w:t>
      </w:r>
      <w:r w:rsidR="00835CAB" w:rsidRPr="0059317C">
        <w:rPr>
          <w:rFonts w:eastAsiaTheme="minorEastAsia"/>
          <w:szCs w:val="20"/>
          <w:lang w:val="en-US"/>
        </w:rPr>
        <w:t xml:space="preserve">qualified to pass judgment on whether the petrographic results should take precedence over those based on NAA.  </w:t>
      </w:r>
      <w:r w:rsidR="00002927" w:rsidRPr="0059317C">
        <w:rPr>
          <w:rFonts w:eastAsiaTheme="minorEastAsia"/>
          <w:szCs w:val="20"/>
          <w:lang w:val="en-US"/>
        </w:rPr>
        <w:t>Yet, she accepts</w:t>
      </w:r>
      <w:r w:rsidR="00BC3FFF" w:rsidRPr="0059317C">
        <w:rPr>
          <w:rFonts w:eastAsiaTheme="minorEastAsia"/>
          <w:szCs w:val="20"/>
          <w:lang w:val="en-US"/>
        </w:rPr>
        <w:t xml:space="preserve"> </w:t>
      </w:r>
      <w:r w:rsidR="00D237C9" w:rsidRPr="0059317C">
        <w:rPr>
          <w:rFonts w:eastAsiaTheme="minorEastAsia"/>
          <w:szCs w:val="20"/>
          <w:lang w:val="en-US"/>
        </w:rPr>
        <w:t>without question</w:t>
      </w:r>
      <w:r w:rsidR="00315DEA" w:rsidRPr="0059317C">
        <w:rPr>
          <w:rFonts w:eastAsiaTheme="minorEastAsia"/>
          <w:szCs w:val="20"/>
          <w:lang w:val="en-US"/>
        </w:rPr>
        <w:t xml:space="preserve">, based only on the critiques of Goren and Aston, </w:t>
      </w:r>
      <w:r w:rsidR="00D237C9" w:rsidRPr="0059317C">
        <w:rPr>
          <w:rFonts w:eastAsiaTheme="minorEastAsia"/>
          <w:szCs w:val="20"/>
          <w:lang w:val="en-US"/>
        </w:rPr>
        <w:t xml:space="preserve">the petrographic conclusion that the primary ties of Tell el-Dab`a </w:t>
      </w:r>
      <w:r w:rsidR="00C109EF" w:rsidRPr="0059317C">
        <w:rPr>
          <w:rFonts w:eastAsiaTheme="minorEastAsia"/>
          <w:szCs w:val="20"/>
          <w:lang w:val="en-US"/>
        </w:rPr>
        <w:t>we</w:t>
      </w:r>
      <w:r w:rsidR="00D237C9" w:rsidRPr="0059317C">
        <w:rPr>
          <w:rFonts w:eastAsiaTheme="minorEastAsia"/>
          <w:szCs w:val="20"/>
          <w:lang w:val="en-US"/>
        </w:rPr>
        <w:t xml:space="preserve">re with the northern Levant throughout the MBA. </w:t>
      </w:r>
      <w:r w:rsidR="00002927" w:rsidRPr="0059317C">
        <w:rPr>
          <w:rFonts w:eastAsiaTheme="minorEastAsia"/>
          <w:szCs w:val="20"/>
          <w:lang w:val="en-US"/>
        </w:rPr>
        <w:t xml:space="preserve"> </w:t>
      </w:r>
      <w:r w:rsidR="00D237C9" w:rsidRPr="0059317C">
        <w:rPr>
          <w:rFonts w:eastAsia="Times New Roman"/>
          <w:szCs w:val="20"/>
          <w:lang w:val="en-US"/>
        </w:rPr>
        <w:t xml:space="preserve">Bietak </w:t>
      </w:r>
      <w:r w:rsidR="00002927" w:rsidRPr="0059317C">
        <w:rPr>
          <w:rFonts w:eastAsia="Times New Roman"/>
          <w:szCs w:val="20"/>
          <w:lang w:val="en-US"/>
        </w:rPr>
        <w:t xml:space="preserve">has no problem with this position when he writes </w:t>
      </w:r>
      <w:r w:rsidR="00D237C9" w:rsidRPr="0059317C">
        <w:rPr>
          <w:rFonts w:eastAsia="Times New Roman"/>
          <w:szCs w:val="20"/>
          <w:lang w:val="en-US"/>
        </w:rPr>
        <w:t>“the author stresses that there is no evidence for a southern Levantine origin</w:t>
      </w:r>
      <w:r w:rsidR="00002927" w:rsidRPr="0059317C">
        <w:rPr>
          <w:rFonts w:eastAsia="Times New Roman"/>
          <w:szCs w:val="20"/>
          <w:lang w:val="en-US"/>
        </w:rPr>
        <w:t>.</w:t>
      </w:r>
      <w:r w:rsidR="00D237C9" w:rsidRPr="0059317C">
        <w:rPr>
          <w:rFonts w:eastAsia="Times New Roman"/>
          <w:szCs w:val="20"/>
          <w:lang w:val="en-US"/>
        </w:rPr>
        <w:t xml:space="preserve">”  </w:t>
      </w:r>
      <w:r w:rsidR="00DA1205" w:rsidRPr="0059317C">
        <w:rPr>
          <w:rFonts w:eastAsia="Times New Roman"/>
          <w:szCs w:val="20"/>
          <w:lang w:val="en-US"/>
        </w:rPr>
        <w:t xml:space="preserve">Mourad now holds a postgraduate position at </w:t>
      </w:r>
      <w:r w:rsidR="00440417" w:rsidRPr="0059317C">
        <w:rPr>
          <w:rFonts w:eastAsia="Times New Roman"/>
          <w:szCs w:val="20"/>
          <w:lang w:val="en-US"/>
        </w:rPr>
        <w:t xml:space="preserve">the Austrian </w:t>
      </w:r>
      <w:r w:rsidR="00C203C7" w:rsidRPr="0059317C">
        <w:rPr>
          <w:rFonts w:eastAsia="Times New Roman"/>
          <w:szCs w:val="20"/>
          <w:lang w:val="en-US"/>
        </w:rPr>
        <w:t>Academy of Sciences under Bietak.</w:t>
      </w:r>
    </w:p>
    <w:p w14:paraId="647620E5" w14:textId="77777777" w:rsidR="00DA5576" w:rsidRPr="0059317C" w:rsidRDefault="00DA5576" w:rsidP="004E333C">
      <w:pPr>
        <w:widowControl w:val="0"/>
        <w:autoSpaceDE w:val="0"/>
        <w:autoSpaceDN w:val="0"/>
        <w:adjustRightInd w:val="0"/>
        <w:spacing w:after="0" w:line="240" w:lineRule="auto"/>
        <w:rPr>
          <w:rFonts w:eastAsia="Times New Roman"/>
          <w:szCs w:val="20"/>
          <w:lang w:val="en-US"/>
        </w:rPr>
      </w:pPr>
    </w:p>
    <w:p w14:paraId="22D8DEF7" w14:textId="1A62DE98" w:rsidR="001A312F" w:rsidRPr="001A312F" w:rsidRDefault="001A312F" w:rsidP="001A312F">
      <w:pPr>
        <w:widowControl w:val="0"/>
        <w:autoSpaceDE w:val="0"/>
        <w:autoSpaceDN w:val="0"/>
        <w:adjustRightInd w:val="0"/>
        <w:spacing w:after="0" w:line="240" w:lineRule="auto"/>
        <w:rPr>
          <w:rFonts w:eastAsia="Times New Roman"/>
          <w:b/>
          <w:szCs w:val="24"/>
          <w:lang w:val="en-US"/>
        </w:rPr>
      </w:pPr>
      <w:bookmarkStart w:id="31" w:name="_Hlk5603750"/>
      <w:r w:rsidRPr="001A312F">
        <w:rPr>
          <w:rFonts w:eastAsia="Times New Roman"/>
          <w:b/>
          <w:szCs w:val="24"/>
          <w:lang w:val="en-US"/>
        </w:rPr>
        <w:t>Does Bietak Now Agree with the NAA Results?</w:t>
      </w:r>
    </w:p>
    <w:p w14:paraId="74EE612D" w14:textId="77777777" w:rsidR="001A312F" w:rsidRDefault="001A312F" w:rsidP="00C109EF">
      <w:pPr>
        <w:widowControl w:val="0"/>
        <w:autoSpaceDE w:val="0"/>
        <w:autoSpaceDN w:val="0"/>
        <w:adjustRightInd w:val="0"/>
        <w:spacing w:after="0" w:line="240" w:lineRule="auto"/>
        <w:rPr>
          <w:rFonts w:eastAsia="Times New Roman"/>
          <w:szCs w:val="20"/>
          <w:lang w:val="en-US"/>
        </w:rPr>
      </w:pPr>
    </w:p>
    <w:p w14:paraId="7812E512" w14:textId="441FF61C" w:rsidR="00A63782" w:rsidRPr="0059317C" w:rsidRDefault="00A41176" w:rsidP="00C109EF">
      <w:pPr>
        <w:widowControl w:val="0"/>
        <w:autoSpaceDE w:val="0"/>
        <w:autoSpaceDN w:val="0"/>
        <w:adjustRightInd w:val="0"/>
        <w:spacing w:after="0" w:line="240" w:lineRule="auto"/>
        <w:rPr>
          <w:rFonts w:eastAsia="Times New Roman"/>
          <w:szCs w:val="20"/>
          <w:lang w:val="en-US"/>
        </w:rPr>
      </w:pPr>
      <w:r>
        <w:rPr>
          <w:rFonts w:eastAsia="Times New Roman"/>
          <w:szCs w:val="20"/>
          <w:lang w:val="en-US"/>
        </w:rPr>
        <w:t xml:space="preserve">Strangely, </w:t>
      </w:r>
      <w:r w:rsidR="00970BAF" w:rsidRPr="0059317C">
        <w:rPr>
          <w:rFonts w:eastAsia="Times New Roman"/>
          <w:szCs w:val="20"/>
          <w:lang w:val="en-US"/>
        </w:rPr>
        <w:t xml:space="preserve">Dr. Bietak </w:t>
      </w:r>
      <w:r w:rsidR="00EA4D08">
        <w:rPr>
          <w:rFonts w:eastAsia="Times New Roman"/>
          <w:szCs w:val="20"/>
          <w:lang w:val="en-US"/>
        </w:rPr>
        <w:t xml:space="preserve">appears to agree with the principal conclusions of the NAA </w:t>
      </w:r>
      <w:r w:rsidR="00EA4D08">
        <w:rPr>
          <w:rFonts w:eastAsia="Times New Roman"/>
          <w:szCs w:val="20"/>
          <w:lang w:val="en-US"/>
        </w:rPr>
        <w:lastRenderedPageBreak/>
        <w:t xml:space="preserve">study </w:t>
      </w:r>
      <w:r w:rsidR="00970BAF" w:rsidRPr="0059317C">
        <w:rPr>
          <w:rFonts w:eastAsia="Times New Roman"/>
          <w:szCs w:val="20"/>
          <w:lang w:val="en-US"/>
        </w:rPr>
        <w:t xml:space="preserve">in his review </w:t>
      </w:r>
      <w:r w:rsidR="009B515D">
        <w:rPr>
          <w:rFonts w:eastAsia="Times New Roman"/>
          <w:szCs w:val="20"/>
          <w:lang w:val="en-US"/>
        </w:rPr>
        <w:t xml:space="preserve">of Mourad’s book </w:t>
      </w:r>
      <w:r w:rsidR="00970BAF" w:rsidRPr="0059317C">
        <w:rPr>
          <w:rFonts w:eastAsia="Times New Roman"/>
          <w:szCs w:val="20"/>
          <w:lang w:val="en-US"/>
        </w:rPr>
        <w:t>when he writes</w:t>
      </w:r>
      <w:bookmarkStart w:id="32" w:name="_Hlk4386635"/>
      <w:r w:rsidR="00970BAF" w:rsidRPr="0059317C">
        <w:rPr>
          <w:rFonts w:eastAsia="Times New Roman"/>
          <w:szCs w:val="20"/>
          <w:lang w:val="en-US"/>
        </w:rPr>
        <w:t>: “Only in the late 13</w:t>
      </w:r>
      <w:r w:rsidR="00970BAF" w:rsidRPr="00AD4F2E">
        <w:rPr>
          <w:rFonts w:eastAsia="Times New Roman"/>
          <w:szCs w:val="20"/>
          <w:vertAlign w:val="superscript"/>
          <w:lang w:val="en-US"/>
        </w:rPr>
        <w:t>th</w:t>
      </w:r>
      <w:r w:rsidR="00970BAF" w:rsidRPr="0059317C">
        <w:rPr>
          <w:rFonts w:eastAsia="Times New Roman"/>
          <w:szCs w:val="20"/>
          <w:lang w:val="en-US"/>
        </w:rPr>
        <w:t xml:space="preserve"> Dynasty did imports from the southern Levant arrive in growing numbers, until during the Hyksos Period the percentage imported from the north fell dramatically</w:t>
      </w:r>
      <w:r w:rsidR="006670CE">
        <w:rPr>
          <w:rFonts w:eastAsia="Times New Roman"/>
          <w:szCs w:val="20"/>
          <w:lang w:val="en-US"/>
        </w:rPr>
        <w:t>.</w:t>
      </w:r>
      <w:r w:rsidR="00970BAF" w:rsidRPr="0059317C">
        <w:rPr>
          <w:rFonts w:eastAsia="Times New Roman"/>
          <w:szCs w:val="20"/>
          <w:lang w:val="en-US"/>
        </w:rPr>
        <w:t>”</w:t>
      </w:r>
      <w:bookmarkEnd w:id="32"/>
      <w:r w:rsidR="00970BAF" w:rsidRPr="0059317C">
        <w:rPr>
          <w:rFonts w:eastAsia="Times New Roman"/>
          <w:szCs w:val="20"/>
          <w:lang w:val="en-US"/>
        </w:rPr>
        <w:t xml:space="preserve">  This </w:t>
      </w:r>
      <w:r w:rsidR="00B60148" w:rsidRPr="0059317C">
        <w:rPr>
          <w:rFonts w:eastAsia="Times New Roman"/>
          <w:szCs w:val="20"/>
          <w:lang w:val="en-US"/>
        </w:rPr>
        <w:t>statement</w:t>
      </w:r>
      <w:r w:rsidR="00734C51" w:rsidRPr="0059317C">
        <w:rPr>
          <w:rFonts w:eastAsia="Times New Roman"/>
          <w:szCs w:val="20"/>
          <w:lang w:val="en-US"/>
        </w:rPr>
        <w:t xml:space="preserve"> </w:t>
      </w:r>
      <w:r w:rsidR="002C3D34">
        <w:rPr>
          <w:rFonts w:eastAsia="Times New Roman"/>
          <w:szCs w:val="20"/>
          <w:lang w:val="en-US"/>
        </w:rPr>
        <w:t>accords with</w:t>
      </w:r>
      <w:r w:rsidR="00C853AB" w:rsidRPr="0059317C">
        <w:rPr>
          <w:rFonts w:eastAsia="Times New Roman"/>
          <w:szCs w:val="20"/>
          <w:lang w:val="en-US"/>
        </w:rPr>
        <w:t xml:space="preserve"> </w:t>
      </w:r>
      <w:r w:rsidR="00DC23CA" w:rsidRPr="0059317C">
        <w:rPr>
          <w:rFonts w:eastAsia="Times New Roman"/>
          <w:szCs w:val="20"/>
          <w:lang w:val="en-US"/>
        </w:rPr>
        <w:t>the founding</w:t>
      </w:r>
      <w:r w:rsidR="00734C51" w:rsidRPr="0059317C">
        <w:rPr>
          <w:rFonts w:eastAsia="Times New Roman"/>
          <w:szCs w:val="20"/>
          <w:lang w:val="en-US"/>
        </w:rPr>
        <w:t xml:space="preserve"> of Ashkelon </w:t>
      </w:r>
      <w:r w:rsidR="002C3D34" w:rsidRPr="0059317C">
        <w:rPr>
          <w:rFonts w:eastAsia="Times New Roman"/>
          <w:szCs w:val="20"/>
          <w:lang w:val="en-US"/>
        </w:rPr>
        <w:t>and other major city-states in the Gaza region</w:t>
      </w:r>
      <w:r w:rsidR="002C3D34">
        <w:rPr>
          <w:rFonts w:eastAsia="Times New Roman"/>
          <w:szCs w:val="20"/>
          <w:lang w:val="en-US"/>
        </w:rPr>
        <w:t xml:space="preserve"> earlier in </w:t>
      </w:r>
      <w:r w:rsidR="002C3D34" w:rsidRPr="0059317C">
        <w:rPr>
          <w:rFonts w:eastAsia="Times New Roman"/>
          <w:szCs w:val="20"/>
          <w:lang w:val="en-US"/>
        </w:rPr>
        <w:t>MB IIA</w:t>
      </w:r>
      <w:r w:rsidR="006E6800">
        <w:rPr>
          <w:rFonts w:eastAsia="Times New Roman"/>
          <w:szCs w:val="20"/>
          <w:lang w:val="en-US"/>
        </w:rPr>
        <w:t>, followed by the growth of Tell el-Dab`a later in the period with the emergence of close trading ties with Southern Palestine.</w:t>
      </w:r>
      <w:r w:rsidR="00DC23CA" w:rsidRPr="0059317C">
        <w:rPr>
          <w:rFonts w:eastAsia="Times New Roman"/>
          <w:szCs w:val="20"/>
          <w:lang w:val="en-US"/>
        </w:rPr>
        <w:t xml:space="preserve">  </w:t>
      </w:r>
      <w:r w:rsidR="006E6800">
        <w:rPr>
          <w:rFonts w:eastAsia="Times New Roman"/>
          <w:szCs w:val="20"/>
          <w:lang w:val="en-US"/>
        </w:rPr>
        <w:t xml:space="preserve">Bietak’s statement, however, goes against the </w:t>
      </w:r>
      <w:r w:rsidR="00DC23CA" w:rsidRPr="0059317C">
        <w:rPr>
          <w:rFonts w:eastAsia="Times New Roman"/>
          <w:szCs w:val="20"/>
          <w:lang w:val="en-US"/>
        </w:rPr>
        <w:t>p</w:t>
      </w:r>
      <w:r w:rsidR="00970BAF" w:rsidRPr="0059317C">
        <w:rPr>
          <w:rFonts w:eastAsia="Times New Roman"/>
          <w:szCs w:val="20"/>
          <w:lang w:val="en-US"/>
        </w:rPr>
        <w:t xml:space="preserve">etrographic </w:t>
      </w:r>
      <w:r w:rsidR="00DC23CA" w:rsidRPr="0059317C">
        <w:rPr>
          <w:rFonts w:eastAsia="Times New Roman"/>
          <w:szCs w:val="20"/>
          <w:lang w:val="en-US"/>
        </w:rPr>
        <w:t>data</w:t>
      </w:r>
      <w:r w:rsidR="009B7A73" w:rsidRPr="0059317C">
        <w:rPr>
          <w:rFonts w:eastAsia="Times New Roman"/>
          <w:szCs w:val="20"/>
          <w:lang w:val="en-US"/>
        </w:rPr>
        <w:t xml:space="preserve"> and their interpretation that the </w:t>
      </w:r>
      <w:r w:rsidR="00DC23CA" w:rsidRPr="0059317C">
        <w:rPr>
          <w:rFonts w:eastAsia="Times New Roman"/>
          <w:szCs w:val="20"/>
          <w:lang w:val="en-US"/>
        </w:rPr>
        <w:t xml:space="preserve">northern Levantine influence </w:t>
      </w:r>
      <w:r w:rsidR="002771DC" w:rsidRPr="0059317C">
        <w:rPr>
          <w:rFonts w:eastAsia="Times New Roman"/>
          <w:szCs w:val="20"/>
          <w:lang w:val="en-US"/>
        </w:rPr>
        <w:t xml:space="preserve">on Tell el-Dab`a </w:t>
      </w:r>
      <w:r w:rsidR="002A7EE8" w:rsidRPr="0059317C">
        <w:rPr>
          <w:rFonts w:eastAsia="Times New Roman"/>
          <w:szCs w:val="20"/>
          <w:lang w:val="en-US"/>
        </w:rPr>
        <w:t xml:space="preserve">far exceeds that </w:t>
      </w:r>
      <w:r w:rsidR="002771DC" w:rsidRPr="0059317C">
        <w:rPr>
          <w:rFonts w:eastAsia="Times New Roman"/>
          <w:szCs w:val="20"/>
          <w:lang w:val="en-US"/>
        </w:rPr>
        <w:t>of</w:t>
      </w:r>
      <w:r w:rsidR="002A7EE8" w:rsidRPr="0059317C">
        <w:rPr>
          <w:rFonts w:eastAsia="Times New Roman"/>
          <w:szCs w:val="20"/>
          <w:lang w:val="en-US"/>
        </w:rPr>
        <w:t xml:space="preserve"> Southern Palestine </w:t>
      </w:r>
      <w:r w:rsidR="00C853AB" w:rsidRPr="0059317C">
        <w:rPr>
          <w:rFonts w:eastAsia="Times New Roman"/>
          <w:szCs w:val="20"/>
          <w:lang w:val="en-US"/>
        </w:rPr>
        <w:t>throughout the MBA, from</w:t>
      </w:r>
      <w:r w:rsidR="00DC23CA" w:rsidRPr="0059317C">
        <w:rPr>
          <w:rFonts w:eastAsia="Times New Roman"/>
          <w:szCs w:val="20"/>
          <w:lang w:val="en-US"/>
        </w:rPr>
        <w:t xml:space="preserve"> </w:t>
      </w:r>
      <w:r w:rsidR="002771DC" w:rsidRPr="0059317C">
        <w:rPr>
          <w:rFonts w:eastAsia="Times New Roman"/>
          <w:szCs w:val="20"/>
          <w:lang w:val="en-US"/>
        </w:rPr>
        <w:t xml:space="preserve">early in MB IIA and continuing through </w:t>
      </w:r>
      <w:r w:rsidR="00DC23CA" w:rsidRPr="0059317C">
        <w:rPr>
          <w:rFonts w:eastAsia="Times New Roman"/>
          <w:szCs w:val="20"/>
          <w:lang w:val="en-US"/>
        </w:rPr>
        <w:t xml:space="preserve">the </w:t>
      </w:r>
      <w:r w:rsidR="002A7EE8" w:rsidRPr="0059317C">
        <w:rPr>
          <w:rFonts w:eastAsia="Times New Roman"/>
          <w:szCs w:val="20"/>
          <w:lang w:val="en-US"/>
        </w:rPr>
        <w:t xml:space="preserve">Hyksos </w:t>
      </w:r>
      <w:r w:rsidR="00DC23CA" w:rsidRPr="0059317C">
        <w:rPr>
          <w:rFonts w:eastAsia="Times New Roman"/>
          <w:szCs w:val="20"/>
          <w:lang w:val="en-US"/>
        </w:rPr>
        <w:t>15</w:t>
      </w:r>
      <w:r w:rsidR="00DC23CA" w:rsidRPr="0059317C">
        <w:rPr>
          <w:rFonts w:eastAsia="Times New Roman"/>
          <w:szCs w:val="20"/>
          <w:vertAlign w:val="superscript"/>
          <w:lang w:val="en-US"/>
        </w:rPr>
        <w:t>th</w:t>
      </w:r>
      <w:r w:rsidR="00DC23CA" w:rsidRPr="0059317C">
        <w:rPr>
          <w:rFonts w:eastAsia="Times New Roman"/>
          <w:szCs w:val="20"/>
          <w:lang w:val="en-US"/>
        </w:rPr>
        <w:t xml:space="preserve"> Dynasty up until the end of the</w:t>
      </w:r>
      <w:r w:rsidR="00B60148" w:rsidRPr="0059317C">
        <w:rPr>
          <w:rFonts w:eastAsia="Times New Roman"/>
          <w:szCs w:val="20"/>
          <w:lang w:val="en-US"/>
        </w:rPr>
        <w:t xml:space="preserve"> </w:t>
      </w:r>
      <w:r w:rsidR="002771DC" w:rsidRPr="0059317C">
        <w:rPr>
          <w:rFonts w:eastAsia="Times New Roman"/>
          <w:szCs w:val="20"/>
          <w:lang w:val="en-US"/>
        </w:rPr>
        <w:t>period</w:t>
      </w:r>
      <w:r w:rsidR="002A7EE8" w:rsidRPr="0059317C">
        <w:rPr>
          <w:rFonts w:eastAsia="Times New Roman"/>
          <w:szCs w:val="20"/>
          <w:lang w:val="en-US"/>
        </w:rPr>
        <w:t>.</w:t>
      </w:r>
    </w:p>
    <w:p w14:paraId="07EAC8C5" w14:textId="77777777" w:rsidR="002A7EE8" w:rsidRPr="0059317C" w:rsidRDefault="002A7EE8" w:rsidP="00C109EF">
      <w:pPr>
        <w:widowControl w:val="0"/>
        <w:autoSpaceDE w:val="0"/>
        <w:autoSpaceDN w:val="0"/>
        <w:adjustRightInd w:val="0"/>
        <w:spacing w:after="0" w:line="240" w:lineRule="auto"/>
        <w:rPr>
          <w:rFonts w:eastAsia="Times New Roman"/>
          <w:szCs w:val="20"/>
          <w:lang w:val="en-US"/>
        </w:rPr>
      </w:pPr>
    </w:p>
    <w:p w14:paraId="5524F054" w14:textId="38DD7295" w:rsidR="001C54E7" w:rsidRDefault="005235CC" w:rsidP="00C109EF">
      <w:pPr>
        <w:widowControl w:val="0"/>
        <w:autoSpaceDE w:val="0"/>
        <w:autoSpaceDN w:val="0"/>
        <w:adjustRightInd w:val="0"/>
        <w:spacing w:after="0" w:line="240" w:lineRule="auto"/>
        <w:rPr>
          <w:rFonts w:eastAsiaTheme="minorEastAsia"/>
          <w:szCs w:val="24"/>
          <w:lang w:val="en-US"/>
        </w:rPr>
      </w:pPr>
      <w:r w:rsidRPr="0059317C">
        <w:rPr>
          <w:rFonts w:eastAsiaTheme="minorEastAsia"/>
          <w:szCs w:val="20"/>
          <w:lang w:val="en-US"/>
        </w:rPr>
        <w:t xml:space="preserve">Bietak’s </w:t>
      </w:r>
      <w:r w:rsidR="0082054D">
        <w:rPr>
          <w:rFonts w:eastAsiaTheme="minorEastAsia"/>
          <w:szCs w:val="20"/>
          <w:lang w:val="en-US"/>
        </w:rPr>
        <w:t xml:space="preserve">apparent about-turn fits with his accommodation to or denial of scientific data when they are in accord </w:t>
      </w:r>
      <w:r w:rsidR="002A5BAB">
        <w:rPr>
          <w:rFonts w:eastAsiaTheme="minorEastAsia"/>
          <w:szCs w:val="20"/>
          <w:lang w:val="en-US"/>
        </w:rPr>
        <w:t xml:space="preserve">or disagree </w:t>
      </w:r>
      <w:r w:rsidR="0082054D">
        <w:rPr>
          <w:rFonts w:eastAsiaTheme="minorEastAsia"/>
          <w:szCs w:val="20"/>
          <w:lang w:val="en-US"/>
        </w:rPr>
        <w:t xml:space="preserve">with his </w:t>
      </w:r>
      <w:r w:rsidR="002A5BAB">
        <w:rPr>
          <w:rFonts w:eastAsiaTheme="minorEastAsia"/>
          <w:szCs w:val="20"/>
          <w:lang w:val="en-US"/>
        </w:rPr>
        <w:t xml:space="preserve">strongly held </w:t>
      </w:r>
      <w:r w:rsidR="00C71F9D">
        <w:rPr>
          <w:rFonts w:eastAsiaTheme="minorEastAsia"/>
          <w:szCs w:val="20"/>
          <w:lang w:val="en-US"/>
        </w:rPr>
        <w:t>theories</w:t>
      </w:r>
      <w:r w:rsidR="002A5BAB">
        <w:rPr>
          <w:rFonts w:eastAsiaTheme="minorEastAsia"/>
          <w:szCs w:val="20"/>
          <w:lang w:val="en-US"/>
        </w:rPr>
        <w:t xml:space="preserve">.  As another example, </w:t>
      </w:r>
      <w:bookmarkStart w:id="33" w:name="_Hlk5603074"/>
      <w:bookmarkEnd w:id="31"/>
      <w:r w:rsidR="002A5BAB">
        <w:rPr>
          <w:rFonts w:eastAsiaTheme="minorEastAsia"/>
          <w:szCs w:val="20"/>
          <w:lang w:val="en-US"/>
        </w:rPr>
        <w:t>h</w:t>
      </w:r>
      <w:r w:rsidR="002771DC" w:rsidRPr="0059317C">
        <w:rPr>
          <w:rFonts w:eastAsiaTheme="minorEastAsia"/>
          <w:szCs w:val="20"/>
          <w:lang w:val="en-US"/>
        </w:rPr>
        <w:t>e</w:t>
      </w:r>
      <w:r w:rsidR="00675443" w:rsidRPr="0059317C">
        <w:rPr>
          <w:rFonts w:eastAsiaTheme="minorEastAsia"/>
          <w:szCs w:val="20"/>
          <w:lang w:val="en-US"/>
        </w:rPr>
        <w:t xml:space="preserve"> i</w:t>
      </w:r>
      <w:r w:rsidR="002771DC" w:rsidRPr="0059317C">
        <w:rPr>
          <w:rFonts w:eastAsiaTheme="minorEastAsia"/>
          <w:szCs w:val="20"/>
          <w:lang w:val="en-US"/>
        </w:rPr>
        <w:t xml:space="preserve">s willing to </w:t>
      </w:r>
      <w:r w:rsidR="00AE05E4" w:rsidRPr="0059317C">
        <w:rPr>
          <w:rFonts w:eastAsiaTheme="minorEastAsia"/>
          <w:szCs w:val="20"/>
          <w:lang w:val="en-US"/>
        </w:rPr>
        <w:t xml:space="preserve">accept </w:t>
      </w:r>
      <w:r w:rsidR="002771DC" w:rsidRPr="0059317C">
        <w:rPr>
          <w:rFonts w:eastAsiaTheme="minorEastAsia"/>
          <w:szCs w:val="20"/>
          <w:lang w:val="en-US"/>
        </w:rPr>
        <w:t xml:space="preserve">physical </w:t>
      </w:r>
      <w:bookmarkStart w:id="34" w:name="_Hlk5602385"/>
      <w:r w:rsidR="002771DC" w:rsidRPr="0059317C">
        <w:rPr>
          <w:rFonts w:eastAsiaTheme="minorEastAsia"/>
          <w:szCs w:val="20"/>
          <w:lang w:val="en-US"/>
        </w:rPr>
        <w:t>anthropological</w:t>
      </w:r>
      <w:r w:rsidR="00675443" w:rsidRPr="0059317C">
        <w:rPr>
          <w:rFonts w:eastAsiaTheme="minorEastAsia"/>
          <w:szCs w:val="20"/>
          <w:lang w:val="en-US"/>
        </w:rPr>
        <w:t xml:space="preserve"> </w:t>
      </w:r>
      <w:r w:rsidR="00AE05E4" w:rsidRPr="0059317C">
        <w:rPr>
          <w:rFonts w:eastAsiaTheme="minorEastAsia"/>
          <w:szCs w:val="20"/>
          <w:lang w:val="en-US"/>
        </w:rPr>
        <w:t xml:space="preserve">evidence from Tell Kamid el-Loz in the Beqaa Valley </w:t>
      </w:r>
      <w:r w:rsidR="00650E79" w:rsidRPr="0059317C">
        <w:rPr>
          <w:rFonts w:eastAsiaTheme="minorEastAsia"/>
          <w:szCs w:val="20"/>
          <w:lang w:val="en-US"/>
        </w:rPr>
        <w:t xml:space="preserve">of Lebanon </w:t>
      </w:r>
      <w:r w:rsidR="00AE05E4" w:rsidRPr="0059317C">
        <w:rPr>
          <w:rFonts w:eastAsiaTheme="minorEastAsia"/>
          <w:szCs w:val="20"/>
          <w:lang w:val="en-US"/>
        </w:rPr>
        <w:t xml:space="preserve">supposedly showing </w:t>
      </w:r>
      <w:r w:rsidR="00343866" w:rsidRPr="0059317C">
        <w:rPr>
          <w:rFonts w:eastAsiaTheme="minorEastAsia"/>
          <w:szCs w:val="20"/>
          <w:lang w:val="en-US"/>
        </w:rPr>
        <w:t xml:space="preserve">a close genetic relationship between </w:t>
      </w:r>
      <w:r w:rsidR="00C03739" w:rsidRPr="0059317C">
        <w:rPr>
          <w:rFonts w:eastAsiaTheme="minorEastAsia"/>
          <w:szCs w:val="20"/>
          <w:lang w:val="en-US"/>
        </w:rPr>
        <w:t xml:space="preserve">Iron Age </w:t>
      </w:r>
      <w:r w:rsidR="00343866" w:rsidRPr="0059317C">
        <w:rPr>
          <w:rFonts w:eastAsiaTheme="minorEastAsia"/>
          <w:szCs w:val="20"/>
          <w:lang w:val="en-US"/>
        </w:rPr>
        <w:t xml:space="preserve">males of that northern region with the </w:t>
      </w:r>
      <w:r w:rsidR="00C03739" w:rsidRPr="0059317C">
        <w:rPr>
          <w:rFonts w:eastAsiaTheme="minorEastAsia"/>
          <w:szCs w:val="20"/>
          <w:lang w:val="en-US"/>
        </w:rPr>
        <w:t xml:space="preserve">MBA </w:t>
      </w:r>
      <w:r w:rsidR="00343866" w:rsidRPr="0059317C">
        <w:rPr>
          <w:rFonts w:eastAsiaTheme="minorEastAsia"/>
          <w:szCs w:val="20"/>
          <w:lang w:val="en-US"/>
        </w:rPr>
        <w:t xml:space="preserve">Tell el-Dab`a </w:t>
      </w:r>
      <w:r w:rsidR="00B74CC6" w:rsidRPr="0059317C">
        <w:rPr>
          <w:rFonts w:eastAsiaTheme="minorEastAsia"/>
          <w:szCs w:val="20"/>
          <w:lang w:val="en-US"/>
        </w:rPr>
        <w:t xml:space="preserve">male </w:t>
      </w:r>
      <w:r w:rsidR="00343866" w:rsidRPr="0059317C">
        <w:rPr>
          <w:rFonts w:eastAsiaTheme="minorEastAsia"/>
          <w:szCs w:val="20"/>
          <w:lang w:val="en-US"/>
        </w:rPr>
        <w:t>population</w:t>
      </w:r>
      <w:r w:rsidR="00B74CC6" w:rsidRPr="0059317C">
        <w:rPr>
          <w:rFonts w:eastAsiaTheme="minorEastAsia"/>
          <w:szCs w:val="20"/>
          <w:lang w:val="en-US"/>
        </w:rPr>
        <w:t xml:space="preserve">, </w:t>
      </w:r>
      <w:r w:rsidR="000F52CD" w:rsidRPr="0059317C">
        <w:rPr>
          <w:rFonts w:eastAsiaTheme="minorEastAsia"/>
          <w:szCs w:val="20"/>
          <w:lang w:val="en-US"/>
        </w:rPr>
        <w:t xml:space="preserve">who </w:t>
      </w:r>
      <w:r w:rsidR="00F93C6F" w:rsidRPr="0059317C">
        <w:rPr>
          <w:rFonts w:eastAsiaTheme="minorEastAsia"/>
          <w:szCs w:val="20"/>
          <w:lang w:val="en-US"/>
        </w:rPr>
        <w:t xml:space="preserve">then </w:t>
      </w:r>
      <w:r w:rsidR="000F52CD" w:rsidRPr="0059317C">
        <w:rPr>
          <w:rFonts w:eastAsiaTheme="minorEastAsia"/>
          <w:szCs w:val="20"/>
          <w:lang w:val="en-US"/>
        </w:rPr>
        <w:t>married</w:t>
      </w:r>
      <w:r w:rsidR="00C03739" w:rsidRPr="0059317C">
        <w:rPr>
          <w:rFonts w:eastAsiaTheme="minorEastAsia"/>
          <w:szCs w:val="20"/>
          <w:lang w:val="en-US"/>
        </w:rPr>
        <w:t xml:space="preserve"> </w:t>
      </w:r>
      <w:r w:rsidR="00B74CC6" w:rsidRPr="0059317C">
        <w:rPr>
          <w:rFonts w:eastAsiaTheme="minorEastAsia"/>
          <w:szCs w:val="20"/>
          <w:lang w:val="en-US"/>
        </w:rPr>
        <w:t>local Delta</w:t>
      </w:r>
      <w:r w:rsidR="00C03739" w:rsidRPr="0059317C">
        <w:rPr>
          <w:rFonts w:eastAsiaTheme="minorEastAsia"/>
          <w:szCs w:val="20"/>
          <w:lang w:val="en-US"/>
        </w:rPr>
        <w:t xml:space="preserve"> </w:t>
      </w:r>
      <w:r w:rsidR="00B74CC6" w:rsidRPr="0059317C">
        <w:rPr>
          <w:rFonts w:eastAsiaTheme="minorEastAsia"/>
          <w:szCs w:val="20"/>
          <w:lang w:val="en-US"/>
        </w:rPr>
        <w:t>women</w:t>
      </w:r>
      <w:bookmarkEnd w:id="34"/>
      <w:r w:rsidR="00EA0E96">
        <w:rPr>
          <w:rFonts w:eastAsiaTheme="minorEastAsia"/>
          <w:szCs w:val="20"/>
          <w:lang w:val="en-US"/>
        </w:rPr>
        <w:t>.</w:t>
      </w:r>
      <w:r w:rsidR="00C03739" w:rsidRPr="0059317C">
        <w:rPr>
          <w:rStyle w:val="FootnoteReference"/>
          <w:rFonts w:eastAsiaTheme="minorEastAsia"/>
          <w:szCs w:val="20"/>
          <w:lang w:val="en-US"/>
        </w:rPr>
        <w:footnoteReference w:id="30"/>
      </w:r>
      <w:r w:rsidR="00EA0E96">
        <w:rPr>
          <w:rFonts w:eastAsiaTheme="minorEastAsia"/>
          <w:szCs w:val="20"/>
          <w:lang w:val="en-US"/>
        </w:rPr>
        <w:t xml:space="preserve">  </w:t>
      </w:r>
      <w:r w:rsidR="00EA0E96" w:rsidRPr="001C54E7">
        <w:rPr>
          <w:rFonts w:eastAsiaTheme="minorEastAsia"/>
          <w:szCs w:val="24"/>
          <w:lang w:val="en-US"/>
        </w:rPr>
        <w:t xml:space="preserve">Yet, </w:t>
      </w:r>
      <w:r w:rsidR="00593A23" w:rsidRPr="001C54E7">
        <w:rPr>
          <w:rFonts w:eastAsiaTheme="minorEastAsia"/>
          <w:szCs w:val="24"/>
          <w:lang w:val="en-US"/>
        </w:rPr>
        <w:t xml:space="preserve">a </w:t>
      </w:r>
      <w:r w:rsidR="00593A23" w:rsidRPr="001C54E7">
        <w:rPr>
          <w:szCs w:val="24"/>
        </w:rPr>
        <w:t>recent paper</w:t>
      </w:r>
      <w:r w:rsidR="00593A23" w:rsidRPr="001C54E7">
        <w:rPr>
          <w:rStyle w:val="FootnoteReference"/>
          <w:szCs w:val="24"/>
        </w:rPr>
        <w:footnoteReference w:id="31"/>
      </w:r>
      <w:r w:rsidR="00593A23" w:rsidRPr="001C54E7">
        <w:rPr>
          <w:szCs w:val="24"/>
        </w:rPr>
        <w:t xml:space="preserve"> </w:t>
      </w:r>
      <w:r w:rsidR="00EA0E96" w:rsidRPr="001C54E7">
        <w:rPr>
          <w:szCs w:val="24"/>
        </w:rPr>
        <w:t xml:space="preserve">argues for the exact </w:t>
      </w:r>
      <w:r w:rsidR="006670CE">
        <w:rPr>
          <w:szCs w:val="24"/>
        </w:rPr>
        <w:t>opposite.</w:t>
      </w:r>
      <w:r w:rsidR="00EA0E96" w:rsidRPr="001C54E7">
        <w:rPr>
          <w:szCs w:val="24"/>
        </w:rPr>
        <w:t xml:space="preserve">  Based on strontium and oxygen isotope ratios of human tooth enamel from Tell el-Dab’a skeletons, the women appear to be of non-local Levantine origin (perhaps from Southern Palestine?), who then married into the local ruling Hyksos family.</w:t>
      </w:r>
      <w:r w:rsidR="00343866" w:rsidRPr="001C54E7">
        <w:rPr>
          <w:rFonts w:eastAsiaTheme="minorEastAsia"/>
          <w:szCs w:val="24"/>
          <w:lang w:val="en-US"/>
        </w:rPr>
        <w:t xml:space="preserve"> </w:t>
      </w:r>
    </w:p>
    <w:p w14:paraId="05249A4A" w14:textId="77777777" w:rsidR="001C54E7" w:rsidRDefault="001C54E7" w:rsidP="00C109EF">
      <w:pPr>
        <w:widowControl w:val="0"/>
        <w:autoSpaceDE w:val="0"/>
        <w:autoSpaceDN w:val="0"/>
        <w:adjustRightInd w:val="0"/>
        <w:spacing w:after="0" w:line="240" w:lineRule="auto"/>
        <w:rPr>
          <w:rFonts w:eastAsiaTheme="minorEastAsia"/>
          <w:szCs w:val="24"/>
          <w:lang w:val="en-US"/>
        </w:rPr>
      </w:pPr>
    </w:p>
    <w:p w14:paraId="683FBF34" w14:textId="5DE416F7" w:rsidR="00F7608D" w:rsidRPr="0059317C" w:rsidRDefault="001C54E7" w:rsidP="00C109EF">
      <w:pPr>
        <w:widowControl w:val="0"/>
        <w:autoSpaceDE w:val="0"/>
        <w:autoSpaceDN w:val="0"/>
        <w:adjustRightInd w:val="0"/>
        <w:spacing w:after="0" w:line="240" w:lineRule="auto"/>
        <w:rPr>
          <w:rFonts w:eastAsiaTheme="minorEastAsia"/>
          <w:szCs w:val="20"/>
          <w:lang w:val="en-US"/>
        </w:rPr>
      </w:pPr>
      <w:r>
        <w:rPr>
          <w:rFonts w:eastAsiaTheme="minorEastAsia"/>
          <w:szCs w:val="24"/>
          <w:lang w:val="en-US"/>
        </w:rPr>
        <w:t xml:space="preserve">Dr. Bietak follows the same </w:t>
      </w:r>
      <w:r w:rsidR="00732942">
        <w:rPr>
          <w:rFonts w:eastAsiaTheme="minorEastAsia"/>
          <w:szCs w:val="24"/>
          <w:lang w:val="en-US"/>
        </w:rPr>
        <w:t xml:space="preserve">approach </w:t>
      </w:r>
      <w:r>
        <w:rPr>
          <w:rFonts w:eastAsiaTheme="minorEastAsia"/>
          <w:szCs w:val="24"/>
          <w:lang w:val="en-US"/>
        </w:rPr>
        <w:t xml:space="preserve">when he </w:t>
      </w:r>
      <w:r w:rsidR="00650E79" w:rsidRPr="001C54E7">
        <w:rPr>
          <w:rFonts w:eastAsiaTheme="minorEastAsia"/>
          <w:szCs w:val="24"/>
          <w:lang w:val="en-US"/>
        </w:rPr>
        <w:t>endorse</w:t>
      </w:r>
      <w:r>
        <w:rPr>
          <w:rFonts w:eastAsiaTheme="minorEastAsia"/>
          <w:szCs w:val="24"/>
          <w:lang w:val="en-US"/>
        </w:rPr>
        <w:t>s</w:t>
      </w:r>
      <w:r w:rsidR="00650E79" w:rsidRPr="001C54E7">
        <w:rPr>
          <w:rFonts w:eastAsiaTheme="minorEastAsia"/>
          <w:szCs w:val="24"/>
          <w:lang w:val="en-US"/>
        </w:rPr>
        <w:t xml:space="preserve"> Goren’s </w:t>
      </w:r>
      <w:r w:rsidR="00343866" w:rsidRPr="001C54E7">
        <w:rPr>
          <w:rFonts w:eastAsiaTheme="minorEastAsia"/>
          <w:szCs w:val="24"/>
          <w:lang w:val="en-US"/>
        </w:rPr>
        <w:t xml:space="preserve">petrographic </w:t>
      </w:r>
      <w:r>
        <w:rPr>
          <w:rFonts w:eastAsiaTheme="minorEastAsia"/>
          <w:szCs w:val="24"/>
          <w:lang w:val="en-US"/>
        </w:rPr>
        <w:t>argumen</w:t>
      </w:r>
      <w:r w:rsidR="0006191E">
        <w:rPr>
          <w:rFonts w:eastAsiaTheme="minorEastAsia"/>
          <w:szCs w:val="24"/>
          <w:lang w:val="en-US"/>
        </w:rPr>
        <w:t xml:space="preserve">ts </w:t>
      </w:r>
      <w:r w:rsidR="00343866" w:rsidRPr="001C54E7">
        <w:rPr>
          <w:rFonts w:eastAsiaTheme="minorEastAsia"/>
          <w:szCs w:val="24"/>
          <w:lang w:val="en-US"/>
        </w:rPr>
        <w:t xml:space="preserve">that </w:t>
      </w:r>
      <w:r w:rsidR="0006191E">
        <w:rPr>
          <w:rFonts w:eastAsiaTheme="minorEastAsia"/>
          <w:szCs w:val="24"/>
          <w:lang w:val="en-US"/>
        </w:rPr>
        <w:t xml:space="preserve">the </w:t>
      </w:r>
      <w:r w:rsidR="0006191E" w:rsidRPr="001C54E7">
        <w:rPr>
          <w:rFonts w:eastAsiaTheme="minorEastAsia"/>
          <w:szCs w:val="24"/>
          <w:lang w:val="en-US"/>
        </w:rPr>
        <w:t xml:space="preserve">imported </w:t>
      </w:r>
      <w:r w:rsidR="00343866" w:rsidRPr="001C54E7">
        <w:rPr>
          <w:rFonts w:eastAsiaTheme="minorEastAsia"/>
          <w:szCs w:val="24"/>
          <w:lang w:val="en-US"/>
        </w:rPr>
        <w:t xml:space="preserve">pottery </w:t>
      </w:r>
      <w:r w:rsidR="0006191E">
        <w:rPr>
          <w:rFonts w:eastAsiaTheme="minorEastAsia"/>
          <w:szCs w:val="24"/>
          <w:lang w:val="en-US"/>
        </w:rPr>
        <w:t>at</w:t>
      </w:r>
      <w:r w:rsidR="00343866" w:rsidRPr="0059317C">
        <w:rPr>
          <w:rFonts w:eastAsiaTheme="minorEastAsia"/>
          <w:szCs w:val="20"/>
          <w:lang w:val="en-US"/>
        </w:rPr>
        <w:t xml:space="preserve"> Tell el-Dab`a came from the </w:t>
      </w:r>
      <w:r w:rsidR="0006191E">
        <w:rPr>
          <w:rFonts w:eastAsiaTheme="minorEastAsia"/>
          <w:szCs w:val="20"/>
          <w:lang w:val="en-US"/>
        </w:rPr>
        <w:t>northern Levant</w:t>
      </w:r>
      <w:r w:rsidR="00343866" w:rsidRPr="0059317C">
        <w:rPr>
          <w:rFonts w:eastAsiaTheme="minorEastAsia"/>
          <w:szCs w:val="20"/>
          <w:lang w:val="en-US"/>
        </w:rPr>
        <w:t>, because those data and their interpretations</w:t>
      </w:r>
      <w:r w:rsidR="00AE05E4" w:rsidRPr="0059317C">
        <w:rPr>
          <w:rFonts w:eastAsiaTheme="minorEastAsia"/>
          <w:szCs w:val="20"/>
          <w:lang w:val="en-US"/>
        </w:rPr>
        <w:t xml:space="preserve"> </w:t>
      </w:r>
      <w:r w:rsidR="00343866" w:rsidRPr="0059317C">
        <w:rPr>
          <w:rFonts w:eastAsiaTheme="minorEastAsia"/>
          <w:szCs w:val="20"/>
          <w:lang w:val="en-US"/>
        </w:rPr>
        <w:t xml:space="preserve">fit with his hypothesis </w:t>
      </w:r>
      <w:r w:rsidR="00650E79" w:rsidRPr="0059317C">
        <w:rPr>
          <w:rFonts w:eastAsiaTheme="minorEastAsia"/>
          <w:szCs w:val="20"/>
          <w:lang w:val="en-US"/>
        </w:rPr>
        <w:t xml:space="preserve">that the </w:t>
      </w:r>
      <w:r w:rsidR="006670CE">
        <w:rPr>
          <w:rFonts w:eastAsiaTheme="minorEastAsia"/>
          <w:szCs w:val="20"/>
          <w:lang w:val="en-US"/>
        </w:rPr>
        <w:t xml:space="preserve">Hyksos </w:t>
      </w:r>
      <w:r w:rsidR="00650E79" w:rsidRPr="0059317C">
        <w:rPr>
          <w:rFonts w:eastAsiaTheme="minorEastAsia"/>
          <w:szCs w:val="20"/>
          <w:lang w:val="en-US"/>
        </w:rPr>
        <w:t xml:space="preserve">settlers of Tell el-Dab`a originated from </w:t>
      </w:r>
      <w:r w:rsidR="0006191E">
        <w:rPr>
          <w:rFonts w:eastAsiaTheme="minorEastAsia"/>
          <w:szCs w:val="20"/>
          <w:lang w:val="en-US"/>
        </w:rPr>
        <w:t>there</w:t>
      </w:r>
      <w:r w:rsidR="00650E79" w:rsidRPr="0059317C">
        <w:rPr>
          <w:rFonts w:eastAsiaTheme="minorEastAsia"/>
          <w:szCs w:val="20"/>
          <w:lang w:val="en-US"/>
        </w:rPr>
        <w:t>.  By the same token</w:t>
      </w:r>
      <w:r w:rsidR="001C4DC2" w:rsidRPr="0059317C">
        <w:rPr>
          <w:rFonts w:eastAsiaTheme="minorEastAsia"/>
          <w:szCs w:val="20"/>
          <w:lang w:val="en-US"/>
        </w:rPr>
        <w:t xml:space="preserve"> and without adducing any cogent scientific </w:t>
      </w:r>
      <w:r w:rsidR="0006191E">
        <w:rPr>
          <w:rFonts w:eastAsiaTheme="minorEastAsia"/>
          <w:szCs w:val="20"/>
          <w:lang w:val="en-US"/>
        </w:rPr>
        <w:t>explanation</w:t>
      </w:r>
      <w:r w:rsidR="00650E79" w:rsidRPr="0059317C">
        <w:rPr>
          <w:rFonts w:eastAsiaTheme="minorEastAsia"/>
          <w:szCs w:val="20"/>
          <w:lang w:val="en-US"/>
        </w:rPr>
        <w:t xml:space="preserve">, he is </w:t>
      </w:r>
      <w:r w:rsidR="001C4DC2" w:rsidRPr="0059317C">
        <w:rPr>
          <w:rFonts w:eastAsiaTheme="minorEastAsia"/>
          <w:szCs w:val="20"/>
          <w:lang w:val="en-US"/>
        </w:rPr>
        <w:t>willing</w:t>
      </w:r>
      <w:r w:rsidR="00650E79" w:rsidRPr="0059317C">
        <w:rPr>
          <w:rFonts w:eastAsiaTheme="minorEastAsia"/>
          <w:szCs w:val="20"/>
          <w:lang w:val="en-US"/>
        </w:rPr>
        <w:t xml:space="preserve"> to </w:t>
      </w:r>
      <w:r w:rsidR="00285616" w:rsidRPr="0059317C">
        <w:rPr>
          <w:rFonts w:eastAsiaTheme="minorEastAsia"/>
          <w:szCs w:val="20"/>
          <w:lang w:val="en-US"/>
        </w:rPr>
        <w:t>discard</w:t>
      </w:r>
      <w:r w:rsidR="00650E79" w:rsidRPr="0059317C">
        <w:rPr>
          <w:rFonts w:eastAsiaTheme="minorEastAsia"/>
          <w:szCs w:val="20"/>
          <w:lang w:val="en-US"/>
        </w:rPr>
        <w:t xml:space="preserve"> the </w:t>
      </w:r>
      <w:r w:rsidR="001C4DC2" w:rsidRPr="0059317C">
        <w:rPr>
          <w:rFonts w:eastAsiaTheme="minorEastAsia"/>
          <w:szCs w:val="20"/>
          <w:lang w:val="en-US"/>
        </w:rPr>
        <w:t>NAA data</w:t>
      </w:r>
      <w:r w:rsidR="00285616" w:rsidRPr="0059317C">
        <w:rPr>
          <w:rFonts w:eastAsiaTheme="minorEastAsia"/>
          <w:szCs w:val="20"/>
          <w:lang w:val="en-US"/>
        </w:rPr>
        <w:t xml:space="preserve">.  Now, it seems that he is ready to </w:t>
      </w:r>
      <w:r w:rsidR="00732942">
        <w:rPr>
          <w:rFonts w:eastAsiaTheme="minorEastAsia"/>
          <w:szCs w:val="20"/>
          <w:lang w:val="en-US"/>
        </w:rPr>
        <w:t>reject</w:t>
      </w:r>
      <w:r w:rsidR="00285616" w:rsidRPr="0059317C">
        <w:rPr>
          <w:rFonts w:eastAsiaTheme="minorEastAsia"/>
          <w:szCs w:val="20"/>
          <w:lang w:val="en-US"/>
        </w:rPr>
        <w:t xml:space="preserve"> the petrographic data for the Hyksos period in preference to “</w:t>
      </w:r>
      <w:r w:rsidR="00285616" w:rsidRPr="0059317C">
        <w:rPr>
          <w:rFonts w:eastAsia="Times New Roman"/>
          <w:szCs w:val="20"/>
          <w:lang w:val="en-US"/>
        </w:rPr>
        <w:t>imports from the southern Levant</w:t>
      </w:r>
      <w:r w:rsidR="00367A4F" w:rsidRPr="0059317C">
        <w:rPr>
          <w:rFonts w:eastAsia="Times New Roman"/>
          <w:szCs w:val="20"/>
          <w:lang w:val="en-US"/>
        </w:rPr>
        <w:t>,</w:t>
      </w:r>
      <w:r w:rsidR="00285616" w:rsidRPr="0059317C">
        <w:rPr>
          <w:rFonts w:eastAsia="Times New Roman"/>
          <w:szCs w:val="20"/>
          <w:lang w:val="en-US"/>
        </w:rPr>
        <w:t>”</w:t>
      </w:r>
      <w:r w:rsidR="00367A4F" w:rsidRPr="0059317C">
        <w:rPr>
          <w:rFonts w:eastAsia="Times New Roman"/>
          <w:szCs w:val="20"/>
          <w:lang w:val="en-US"/>
        </w:rPr>
        <w:t xml:space="preserve"> without providing his evidential basis</w:t>
      </w:r>
      <w:r w:rsidR="00F42F33" w:rsidRPr="0059317C">
        <w:rPr>
          <w:rFonts w:eastAsia="Times New Roman"/>
          <w:szCs w:val="20"/>
          <w:lang w:val="en-US"/>
        </w:rPr>
        <w:t xml:space="preserve"> and when only a short time previously he </w:t>
      </w:r>
      <w:r w:rsidR="00A80438" w:rsidRPr="0059317C">
        <w:rPr>
          <w:rFonts w:eastAsia="Times New Roman"/>
          <w:szCs w:val="20"/>
          <w:lang w:val="en-US"/>
        </w:rPr>
        <w:t>use</w:t>
      </w:r>
      <w:r w:rsidR="001E63F5" w:rsidRPr="0059317C">
        <w:rPr>
          <w:rFonts w:eastAsia="Times New Roman"/>
          <w:szCs w:val="20"/>
          <w:lang w:val="en-US"/>
        </w:rPr>
        <w:t>d</w:t>
      </w:r>
      <w:r w:rsidR="00A80438" w:rsidRPr="0059317C">
        <w:rPr>
          <w:rFonts w:eastAsia="Times New Roman"/>
          <w:szCs w:val="20"/>
          <w:lang w:val="en-US"/>
        </w:rPr>
        <w:t xml:space="preserve"> that </w:t>
      </w:r>
      <w:r w:rsidR="00A80438" w:rsidRPr="0059317C">
        <w:rPr>
          <w:rFonts w:eastAsia="Times New Roman"/>
          <w:szCs w:val="20"/>
          <w:lang w:val="en-US"/>
        </w:rPr>
        <w:lastRenderedPageBreak/>
        <w:t>data to discredit the NAA data</w:t>
      </w:r>
      <w:r w:rsidR="006670CE">
        <w:rPr>
          <w:rFonts w:eastAsia="Times New Roman"/>
          <w:szCs w:val="20"/>
          <w:lang w:val="en-US"/>
        </w:rPr>
        <w:t xml:space="preserve"> (see footnote 2)</w:t>
      </w:r>
      <w:r w:rsidR="00367A4F" w:rsidRPr="0059317C">
        <w:rPr>
          <w:rFonts w:eastAsia="Times New Roman"/>
          <w:szCs w:val="20"/>
          <w:lang w:val="en-US"/>
        </w:rPr>
        <w:t>.</w:t>
      </w:r>
      <w:bookmarkEnd w:id="33"/>
    </w:p>
    <w:p w14:paraId="7097222D" w14:textId="77777777" w:rsidR="00F7608D" w:rsidRPr="0059317C" w:rsidRDefault="00F7608D" w:rsidP="00C109EF">
      <w:pPr>
        <w:widowControl w:val="0"/>
        <w:autoSpaceDE w:val="0"/>
        <w:autoSpaceDN w:val="0"/>
        <w:adjustRightInd w:val="0"/>
        <w:spacing w:after="0" w:line="240" w:lineRule="auto"/>
        <w:rPr>
          <w:rFonts w:eastAsiaTheme="minorEastAsia"/>
          <w:szCs w:val="20"/>
          <w:lang w:val="en-US"/>
        </w:rPr>
      </w:pPr>
    </w:p>
    <w:p w14:paraId="710714F3" w14:textId="77777777" w:rsidR="008801DB" w:rsidRDefault="008801DB" w:rsidP="00F64E5C">
      <w:pPr>
        <w:widowControl w:val="0"/>
        <w:autoSpaceDE w:val="0"/>
        <w:autoSpaceDN w:val="0"/>
        <w:adjustRightInd w:val="0"/>
        <w:spacing w:after="0" w:line="240" w:lineRule="auto"/>
        <w:rPr>
          <w:rFonts w:eastAsiaTheme="minorEastAsia"/>
          <w:b/>
          <w:szCs w:val="24"/>
          <w:lang w:val="en-US"/>
        </w:rPr>
      </w:pPr>
      <w:r w:rsidRPr="001A312F">
        <w:rPr>
          <w:rFonts w:eastAsiaTheme="minorEastAsia"/>
          <w:b/>
          <w:szCs w:val="24"/>
          <w:lang w:val="en-US"/>
        </w:rPr>
        <w:t>Case in Point for Rigorous Hypothesis Testing: Radiocarbon Dating</w:t>
      </w:r>
    </w:p>
    <w:p w14:paraId="37BBB12E" w14:textId="77777777" w:rsidR="008801DB" w:rsidRDefault="008801DB" w:rsidP="00F64E5C">
      <w:pPr>
        <w:widowControl w:val="0"/>
        <w:autoSpaceDE w:val="0"/>
        <w:autoSpaceDN w:val="0"/>
        <w:adjustRightInd w:val="0"/>
        <w:spacing w:after="0" w:line="240" w:lineRule="auto"/>
        <w:rPr>
          <w:rFonts w:eastAsiaTheme="minorEastAsia"/>
          <w:szCs w:val="20"/>
          <w:lang w:val="en-US"/>
        </w:rPr>
      </w:pPr>
    </w:p>
    <w:p w14:paraId="3688F1C7" w14:textId="2E9DAC86" w:rsidR="005E2C04" w:rsidRPr="008801DB" w:rsidRDefault="00367A4F" w:rsidP="00F64E5C">
      <w:pPr>
        <w:widowControl w:val="0"/>
        <w:autoSpaceDE w:val="0"/>
        <w:autoSpaceDN w:val="0"/>
        <w:adjustRightInd w:val="0"/>
        <w:spacing w:after="0" w:line="240" w:lineRule="auto"/>
        <w:rPr>
          <w:rFonts w:eastAsiaTheme="minorEastAsia"/>
          <w:b/>
          <w:szCs w:val="24"/>
          <w:lang w:val="en-US"/>
        </w:rPr>
      </w:pPr>
      <w:r w:rsidRPr="0059317C">
        <w:rPr>
          <w:rFonts w:eastAsiaTheme="minorEastAsia"/>
          <w:szCs w:val="20"/>
          <w:lang w:val="en-US"/>
        </w:rPr>
        <w:t xml:space="preserve">Another example of </w:t>
      </w:r>
      <w:r w:rsidR="0020408C">
        <w:rPr>
          <w:rFonts w:eastAsiaTheme="minorEastAsia"/>
          <w:szCs w:val="20"/>
          <w:lang w:val="en-US"/>
        </w:rPr>
        <w:t xml:space="preserve">Bietak’s seeming </w:t>
      </w:r>
      <w:r w:rsidRPr="0059317C">
        <w:rPr>
          <w:rFonts w:eastAsiaTheme="minorEastAsia"/>
          <w:szCs w:val="20"/>
          <w:lang w:val="en-US"/>
        </w:rPr>
        <w:t xml:space="preserve">disregard for data from the hard sciences is his recent dismissal of </w:t>
      </w:r>
      <w:r w:rsidR="00754ED5" w:rsidRPr="0059317C">
        <w:rPr>
          <w:rFonts w:eastAsiaTheme="minorEastAsia"/>
          <w:szCs w:val="20"/>
          <w:lang w:val="en-US"/>
        </w:rPr>
        <w:t>4</w:t>
      </w:r>
      <w:r w:rsidR="009776BD" w:rsidRPr="0059317C">
        <w:rPr>
          <w:rFonts w:eastAsiaTheme="minorEastAsia"/>
          <w:szCs w:val="20"/>
          <w:lang w:val="en-US"/>
        </w:rPr>
        <w:t>7</w:t>
      </w:r>
      <w:r w:rsidRPr="0059317C">
        <w:rPr>
          <w:rFonts w:eastAsiaTheme="minorEastAsia"/>
          <w:szCs w:val="20"/>
          <w:lang w:val="en-US"/>
        </w:rPr>
        <w:t xml:space="preserve"> </w:t>
      </w:r>
      <w:r w:rsidR="00D95E09" w:rsidRPr="0059317C">
        <w:rPr>
          <w:rFonts w:eastAsiaTheme="minorEastAsia"/>
          <w:szCs w:val="20"/>
          <w:lang w:val="en-US"/>
        </w:rPr>
        <w:t xml:space="preserve">short-lived </w:t>
      </w:r>
      <w:r w:rsidRPr="0059317C">
        <w:rPr>
          <w:rFonts w:eastAsiaTheme="minorEastAsia"/>
          <w:szCs w:val="20"/>
          <w:lang w:val="en-US"/>
        </w:rPr>
        <w:t>radiocarbon dates from his own site of Tell el-Dab`a</w:t>
      </w:r>
      <w:r w:rsidR="005C25FF" w:rsidRPr="0059317C">
        <w:rPr>
          <w:rFonts w:eastAsiaTheme="minorEastAsia"/>
          <w:szCs w:val="20"/>
          <w:lang w:val="en-US"/>
        </w:rPr>
        <w:t>—</w:t>
      </w:r>
      <w:r w:rsidR="00F64E5C" w:rsidRPr="0059317C">
        <w:rPr>
          <w:rFonts w:eastAsiaTheme="minorEastAsia"/>
          <w:szCs w:val="20"/>
          <w:lang w:val="en-US"/>
        </w:rPr>
        <w:t>together with</w:t>
      </w:r>
      <w:r w:rsidR="00761783" w:rsidRPr="0059317C">
        <w:rPr>
          <w:rFonts w:eastAsiaTheme="minorEastAsia"/>
          <w:szCs w:val="20"/>
          <w:lang w:val="en-US"/>
        </w:rPr>
        <w:t xml:space="preserve"> many </w:t>
      </w:r>
      <w:r w:rsidR="005C25FF" w:rsidRPr="0059317C">
        <w:rPr>
          <w:rFonts w:eastAsiaTheme="minorEastAsia"/>
          <w:szCs w:val="20"/>
          <w:lang w:val="en-US"/>
        </w:rPr>
        <w:t xml:space="preserve">from </w:t>
      </w:r>
      <w:r w:rsidR="00761783" w:rsidRPr="0059317C">
        <w:rPr>
          <w:rFonts w:eastAsiaTheme="minorEastAsia"/>
          <w:szCs w:val="20"/>
          <w:lang w:val="en-US"/>
        </w:rPr>
        <w:t xml:space="preserve">sites </w:t>
      </w:r>
      <w:r w:rsidR="005C25FF" w:rsidRPr="0059317C">
        <w:rPr>
          <w:rFonts w:eastAsiaTheme="minorEastAsia"/>
          <w:szCs w:val="20"/>
          <w:lang w:val="en-US"/>
        </w:rPr>
        <w:t xml:space="preserve">throughout the Levant </w:t>
      </w:r>
      <w:r w:rsidR="00761783" w:rsidRPr="0059317C">
        <w:rPr>
          <w:rFonts w:eastAsiaTheme="minorEastAsia"/>
          <w:szCs w:val="20"/>
          <w:lang w:val="en-US"/>
        </w:rPr>
        <w:t>(</w:t>
      </w:r>
      <w:r w:rsidR="00F64E5C" w:rsidRPr="0059317C">
        <w:rPr>
          <w:rFonts w:eastAsiaTheme="minorEastAsia"/>
          <w:szCs w:val="20"/>
          <w:lang w:val="en-US"/>
        </w:rPr>
        <w:t>Tell el-</w:t>
      </w:r>
      <w:r w:rsidR="005C25FF" w:rsidRPr="0059317C">
        <w:rPr>
          <w:rFonts w:eastAsiaTheme="minorEastAsia"/>
          <w:szCs w:val="20"/>
          <w:lang w:val="en-US"/>
        </w:rPr>
        <w:t>‘</w:t>
      </w:r>
      <w:r w:rsidR="00F64E5C" w:rsidRPr="0059317C">
        <w:rPr>
          <w:rFonts w:eastAsiaTheme="minorEastAsia"/>
          <w:szCs w:val="20"/>
          <w:lang w:val="en-US"/>
        </w:rPr>
        <w:t>Ajjul</w:t>
      </w:r>
      <w:r w:rsidR="005C25FF" w:rsidRPr="0059317C">
        <w:rPr>
          <w:rFonts w:eastAsiaTheme="minorEastAsia"/>
          <w:szCs w:val="20"/>
          <w:lang w:val="en-US"/>
        </w:rPr>
        <w:t xml:space="preserve"> in Southern Palestine</w:t>
      </w:r>
      <w:r w:rsidR="00F64E5C" w:rsidRPr="0059317C">
        <w:rPr>
          <w:rFonts w:eastAsiaTheme="minorEastAsia"/>
          <w:szCs w:val="20"/>
          <w:lang w:val="en-US"/>
        </w:rPr>
        <w:t>, Tel Ifshar</w:t>
      </w:r>
      <w:r w:rsidR="005C25FF" w:rsidRPr="0059317C">
        <w:rPr>
          <w:rFonts w:eastAsiaTheme="minorEastAsia"/>
          <w:szCs w:val="20"/>
          <w:lang w:val="en-US"/>
        </w:rPr>
        <w:t xml:space="preserve"> and</w:t>
      </w:r>
      <w:r w:rsidR="00F64E5C" w:rsidRPr="0059317C">
        <w:rPr>
          <w:rFonts w:eastAsiaTheme="minorEastAsia"/>
          <w:szCs w:val="20"/>
          <w:lang w:val="en-US"/>
        </w:rPr>
        <w:t xml:space="preserve"> Tel Kabri</w:t>
      </w:r>
      <w:r w:rsidR="005C25FF" w:rsidRPr="0059317C">
        <w:rPr>
          <w:rFonts w:eastAsiaTheme="minorEastAsia"/>
          <w:szCs w:val="20"/>
          <w:lang w:val="en-US"/>
        </w:rPr>
        <w:t xml:space="preserve"> in Israel</w:t>
      </w:r>
      <w:r w:rsidR="00F64E5C" w:rsidRPr="0059317C">
        <w:rPr>
          <w:rFonts w:eastAsiaTheme="minorEastAsia"/>
          <w:szCs w:val="20"/>
          <w:lang w:val="en-US"/>
        </w:rPr>
        <w:t>, Jericho</w:t>
      </w:r>
      <w:r w:rsidR="005C25FF" w:rsidRPr="0059317C">
        <w:rPr>
          <w:rFonts w:eastAsiaTheme="minorEastAsia"/>
          <w:szCs w:val="20"/>
          <w:lang w:val="en-US"/>
        </w:rPr>
        <w:t xml:space="preserve"> in the West Bank</w:t>
      </w:r>
      <w:r w:rsidR="00F64E5C" w:rsidRPr="0059317C">
        <w:rPr>
          <w:rFonts w:eastAsiaTheme="minorEastAsia"/>
          <w:szCs w:val="20"/>
          <w:lang w:val="en-US"/>
        </w:rPr>
        <w:t>, Tell el-Hayyat</w:t>
      </w:r>
      <w:r w:rsidR="005C25FF" w:rsidRPr="0059317C">
        <w:rPr>
          <w:rFonts w:eastAsiaTheme="minorEastAsia"/>
          <w:szCs w:val="20"/>
          <w:lang w:val="en-US"/>
        </w:rPr>
        <w:t xml:space="preserve"> in Jordan</w:t>
      </w:r>
      <w:r w:rsidR="00F64E5C" w:rsidRPr="0059317C">
        <w:rPr>
          <w:rFonts w:eastAsiaTheme="minorEastAsia"/>
          <w:szCs w:val="20"/>
          <w:lang w:val="en-US"/>
        </w:rPr>
        <w:t>,and Tell el-Burak</w:t>
      </w:r>
      <w:r w:rsidR="005C25FF" w:rsidRPr="0059317C">
        <w:rPr>
          <w:rFonts w:eastAsiaTheme="minorEastAsia"/>
          <w:szCs w:val="20"/>
          <w:lang w:val="en-US"/>
        </w:rPr>
        <w:t xml:space="preserve"> in Lebanon</w:t>
      </w:r>
      <w:r w:rsidR="005E2C04" w:rsidRPr="0059317C">
        <w:rPr>
          <w:rFonts w:eastAsiaTheme="minorEastAsia"/>
          <w:szCs w:val="20"/>
          <w:lang w:val="en-US"/>
        </w:rPr>
        <w:t>—</w:t>
      </w:r>
      <w:r w:rsidRPr="0059317C">
        <w:rPr>
          <w:rFonts w:eastAsiaTheme="minorEastAsia"/>
          <w:szCs w:val="20"/>
          <w:lang w:val="en-US"/>
        </w:rPr>
        <w:t>because they were more than 100 years higher than his long-advocated chronology for the Middle Kingdom and Second Intermediate Period.</w:t>
      </w:r>
      <w:r w:rsidR="001F17DA" w:rsidRPr="0059317C">
        <w:rPr>
          <w:rStyle w:val="FootnoteReference"/>
          <w:rFonts w:eastAsiaTheme="minorEastAsia"/>
          <w:szCs w:val="20"/>
          <w:lang w:val="en-US"/>
        </w:rPr>
        <w:footnoteReference w:id="32"/>
      </w:r>
      <w:r w:rsidRPr="0059317C">
        <w:rPr>
          <w:rFonts w:eastAsiaTheme="minorEastAsia"/>
          <w:szCs w:val="20"/>
          <w:lang w:val="en-US"/>
        </w:rPr>
        <w:t xml:space="preserve"> </w:t>
      </w:r>
      <w:r w:rsidR="00694A6B" w:rsidRPr="0059317C">
        <w:rPr>
          <w:rFonts w:eastAsiaTheme="minorEastAsia"/>
          <w:szCs w:val="20"/>
          <w:lang w:val="en-US"/>
        </w:rPr>
        <w:t xml:space="preserve"> </w:t>
      </w:r>
      <w:r w:rsidR="00F64E5C" w:rsidRPr="0059317C">
        <w:rPr>
          <w:rFonts w:eastAsiaTheme="minorEastAsia"/>
          <w:szCs w:val="20"/>
          <w:lang w:val="en-US"/>
        </w:rPr>
        <w:t xml:space="preserve">Like he was when the NAA evidence for imported pottery at Dab`a pointed squarely to Southern Palestine as its origin and not Byblos in the northern Levant, </w:t>
      </w:r>
      <w:r w:rsidR="008F2C86" w:rsidRPr="0059317C">
        <w:rPr>
          <w:rFonts w:eastAsiaTheme="minorEastAsia"/>
          <w:szCs w:val="20"/>
          <w:lang w:val="en-US"/>
        </w:rPr>
        <w:t xml:space="preserve">Bietak is </w:t>
      </w:r>
      <w:r w:rsidR="005E2C04" w:rsidRPr="0059317C">
        <w:rPr>
          <w:rFonts w:eastAsiaTheme="minorEastAsia"/>
          <w:szCs w:val="20"/>
          <w:lang w:val="en-US"/>
        </w:rPr>
        <w:t xml:space="preserve">loath to give up a cherished theory, </w:t>
      </w:r>
      <w:r w:rsidR="008F2C86" w:rsidRPr="0059317C">
        <w:rPr>
          <w:rFonts w:eastAsiaTheme="minorEastAsia"/>
          <w:szCs w:val="20"/>
          <w:lang w:val="en-US"/>
        </w:rPr>
        <w:t>which he has long held</w:t>
      </w:r>
      <w:r w:rsidR="005E2C04" w:rsidRPr="0059317C">
        <w:rPr>
          <w:rFonts w:eastAsiaTheme="minorEastAsia"/>
          <w:szCs w:val="20"/>
          <w:lang w:val="en-US"/>
        </w:rPr>
        <w:t>.</w:t>
      </w:r>
      <w:r w:rsidR="00E933B6" w:rsidRPr="0059317C">
        <w:rPr>
          <w:rFonts w:eastAsiaTheme="minorEastAsia"/>
          <w:szCs w:val="20"/>
          <w:lang w:val="en-US"/>
        </w:rPr>
        <w:t xml:space="preserve"> </w:t>
      </w:r>
    </w:p>
    <w:p w14:paraId="3EB01E62" w14:textId="77777777" w:rsidR="001A312F" w:rsidRPr="001A312F" w:rsidRDefault="001A312F" w:rsidP="001A312F">
      <w:pPr>
        <w:widowControl w:val="0"/>
        <w:autoSpaceDE w:val="0"/>
        <w:autoSpaceDN w:val="0"/>
        <w:adjustRightInd w:val="0"/>
        <w:spacing w:after="0" w:line="240" w:lineRule="auto"/>
        <w:rPr>
          <w:rFonts w:eastAsiaTheme="minorEastAsia"/>
          <w:szCs w:val="24"/>
          <w:lang w:val="en-US"/>
        </w:rPr>
      </w:pPr>
    </w:p>
    <w:p w14:paraId="058A6D32" w14:textId="71F06412" w:rsidR="00F41AA1" w:rsidRDefault="00E933B6" w:rsidP="00F64E5C">
      <w:pPr>
        <w:widowControl w:val="0"/>
        <w:autoSpaceDE w:val="0"/>
        <w:autoSpaceDN w:val="0"/>
        <w:adjustRightInd w:val="0"/>
        <w:spacing w:after="0" w:line="240" w:lineRule="auto"/>
        <w:rPr>
          <w:rFonts w:eastAsiaTheme="minorEastAsia"/>
          <w:szCs w:val="20"/>
          <w:lang w:val="en-US"/>
        </w:rPr>
      </w:pPr>
      <w:r w:rsidRPr="0059317C">
        <w:rPr>
          <w:rFonts w:eastAsiaTheme="minorEastAsia"/>
          <w:szCs w:val="20"/>
          <w:lang w:val="en-US"/>
        </w:rPr>
        <w:t xml:space="preserve">As an Egyptologist, </w:t>
      </w:r>
      <w:r w:rsidR="005E2C04" w:rsidRPr="0059317C">
        <w:rPr>
          <w:rFonts w:eastAsiaTheme="minorEastAsia"/>
          <w:szCs w:val="20"/>
          <w:lang w:val="en-US"/>
        </w:rPr>
        <w:t>Dr. Bietak</w:t>
      </w:r>
      <w:r w:rsidRPr="0059317C">
        <w:rPr>
          <w:rFonts w:eastAsiaTheme="minorEastAsia"/>
          <w:szCs w:val="20"/>
          <w:lang w:val="en-US"/>
        </w:rPr>
        <w:t xml:space="preserve"> </w:t>
      </w:r>
      <w:r w:rsidR="004E364C" w:rsidRPr="0059317C">
        <w:rPr>
          <w:rFonts w:eastAsiaTheme="minorEastAsia"/>
          <w:szCs w:val="20"/>
          <w:lang w:val="en-US"/>
        </w:rPr>
        <w:t xml:space="preserve">apparently </w:t>
      </w:r>
      <w:r w:rsidRPr="0059317C">
        <w:rPr>
          <w:rFonts w:eastAsiaTheme="minorEastAsia"/>
          <w:szCs w:val="20"/>
          <w:lang w:val="en-US"/>
        </w:rPr>
        <w:t>feels</w:t>
      </w:r>
      <w:r w:rsidR="002E1E0E" w:rsidRPr="0059317C">
        <w:rPr>
          <w:rFonts w:eastAsiaTheme="minorEastAsia"/>
          <w:szCs w:val="20"/>
          <w:lang w:val="en-US"/>
        </w:rPr>
        <w:t xml:space="preserve"> </w:t>
      </w:r>
      <w:r w:rsidRPr="0059317C">
        <w:rPr>
          <w:rFonts w:eastAsiaTheme="minorEastAsia"/>
          <w:szCs w:val="20"/>
          <w:lang w:val="en-US"/>
        </w:rPr>
        <w:t>more comfortable with the historical, textual, and archaeological evidence</w:t>
      </w:r>
      <w:r w:rsidR="004E364C" w:rsidRPr="0059317C">
        <w:rPr>
          <w:rFonts w:eastAsiaTheme="minorEastAsia"/>
          <w:szCs w:val="20"/>
          <w:lang w:val="en-US"/>
        </w:rPr>
        <w:t xml:space="preserve"> than with that </w:t>
      </w:r>
      <w:r w:rsidR="006604AC" w:rsidRPr="0059317C">
        <w:rPr>
          <w:rFonts w:eastAsiaTheme="minorEastAsia"/>
          <w:szCs w:val="20"/>
          <w:lang w:val="en-US"/>
        </w:rPr>
        <w:t xml:space="preserve">provided by </w:t>
      </w:r>
      <w:r w:rsidR="004E364C" w:rsidRPr="0059317C">
        <w:rPr>
          <w:rFonts w:eastAsiaTheme="minorEastAsia"/>
          <w:szCs w:val="20"/>
          <w:lang w:val="en-US"/>
        </w:rPr>
        <w:t>the natural sciences</w:t>
      </w:r>
      <w:r w:rsidRPr="0059317C">
        <w:rPr>
          <w:rFonts w:eastAsiaTheme="minorEastAsia"/>
          <w:szCs w:val="20"/>
          <w:lang w:val="en-US"/>
        </w:rPr>
        <w:t xml:space="preserve">.  His </w:t>
      </w:r>
      <w:r w:rsidR="004E364C" w:rsidRPr="0059317C">
        <w:rPr>
          <w:rFonts w:eastAsiaTheme="minorEastAsia"/>
          <w:szCs w:val="20"/>
          <w:lang w:val="en-US"/>
        </w:rPr>
        <w:t>discomfort is revealed by his</w:t>
      </w:r>
      <w:r w:rsidR="00DE71FE" w:rsidRPr="0059317C">
        <w:rPr>
          <w:rFonts w:eastAsiaTheme="minorEastAsia"/>
          <w:szCs w:val="20"/>
          <w:lang w:val="en-US"/>
        </w:rPr>
        <w:t xml:space="preserve"> </w:t>
      </w:r>
      <w:r w:rsidR="00251B76" w:rsidRPr="0059317C">
        <w:rPr>
          <w:rFonts w:eastAsiaTheme="minorEastAsia"/>
          <w:szCs w:val="20"/>
          <w:lang w:val="en-US"/>
        </w:rPr>
        <w:t>pitting an unsubstantiated</w:t>
      </w:r>
      <w:r w:rsidR="004E364C" w:rsidRPr="0059317C">
        <w:rPr>
          <w:rFonts w:eastAsiaTheme="minorEastAsia"/>
          <w:szCs w:val="20"/>
          <w:lang w:val="en-US"/>
        </w:rPr>
        <w:t xml:space="preserve"> </w:t>
      </w:r>
      <w:r w:rsidR="00251B76" w:rsidRPr="0059317C">
        <w:rPr>
          <w:rFonts w:eastAsiaTheme="minorEastAsia"/>
          <w:szCs w:val="20"/>
          <w:lang w:val="en-US"/>
        </w:rPr>
        <w:t xml:space="preserve">idea against the </w:t>
      </w:r>
      <w:r w:rsidR="005E2C04" w:rsidRPr="0059317C">
        <w:rPr>
          <w:rFonts w:eastAsiaTheme="minorEastAsia"/>
          <w:szCs w:val="20"/>
          <w:lang w:val="en-US"/>
        </w:rPr>
        <w:t xml:space="preserve">ascertained </w:t>
      </w:r>
      <w:r w:rsidR="002E1E0E" w:rsidRPr="0059317C">
        <w:rPr>
          <w:rFonts w:eastAsiaTheme="minorEastAsia"/>
          <w:szCs w:val="20"/>
          <w:lang w:val="en-US"/>
        </w:rPr>
        <w:t xml:space="preserve">scientific data. </w:t>
      </w:r>
      <w:r w:rsidR="008354D9" w:rsidRPr="0059317C">
        <w:rPr>
          <w:rFonts w:eastAsiaTheme="minorEastAsia"/>
          <w:szCs w:val="20"/>
          <w:lang w:val="en-US"/>
        </w:rPr>
        <w:t xml:space="preserve"> Thus, </w:t>
      </w:r>
      <w:r w:rsidR="00B82479" w:rsidRPr="0059317C">
        <w:rPr>
          <w:rFonts w:eastAsiaTheme="minorEastAsia"/>
          <w:szCs w:val="20"/>
          <w:lang w:val="en-US"/>
        </w:rPr>
        <w:t>he</w:t>
      </w:r>
      <w:r w:rsidR="008801DB">
        <w:rPr>
          <w:rFonts w:eastAsiaTheme="minorEastAsia"/>
          <w:szCs w:val="20"/>
          <w:lang w:val="en-US"/>
        </w:rPr>
        <w:t xml:space="preserve"> </w:t>
      </w:r>
      <w:r w:rsidR="00A711B6">
        <w:rPr>
          <w:rFonts w:eastAsiaTheme="minorEastAsia"/>
          <w:szCs w:val="20"/>
          <w:lang w:val="en-US"/>
        </w:rPr>
        <w:t xml:space="preserve">variously proposes that </w:t>
      </w:r>
      <w:r w:rsidR="00317F6A" w:rsidRPr="0059317C">
        <w:rPr>
          <w:rFonts w:eastAsiaTheme="minorEastAsia"/>
          <w:szCs w:val="20"/>
          <w:lang w:val="en-US"/>
        </w:rPr>
        <w:t xml:space="preserve">the </w:t>
      </w:r>
      <w:r w:rsidR="00D25F8C" w:rsidRPr="0059317C">
        <w:rPr>
          <w:rFonts w:eastAsiaTheme="minorEastAsia"/>
          <w:szCs w:val="20"/>
          <w:lang w:val="en-US"/>
        </w:rPr>
        <w:t>high dates were due to the</w:t>
      </w:r>
      <w:r w:rsidR="00317F6A" w:rsidRPr="0059317C">
        <w:rPr>
          <w:rFonts w:eastAsiaTheme="minorEastAsia"/>
          <w:szCs w:val="20"/>
          <w:lang w:val="en-US"/>
        </w:rPr>
        <w:t xml:space="preserve"> erosion of </w:t>
      </w:r>
      <w:r w:rsidR="005964FD" w:rsidRPr="0059317C">
        <w:rPr>
          <w:rFonts w:eastAsiaTheme="minorEastAsia"/>
          <w:szCs w:val="20"/>
          <w:lang w:val="en-US"/>
        </w:rPr>
        <w:t xml:space="preserve">older </w:t>
      </w:r>
      <w:r w:rsidR="00317F6A" w:rsidRPr="0059317C">
        <w:rPr>
          <w:rFonts w:eastAsiaTheme="minorEastAsia"/>
          <w:szCs w:val="20"/>
          <w:lang w:val="en-US"/>
        </w:rPr>
        <w:t xml:space="preserve">construction material which contained </w:t>
      </w:r>
      <w:r w:rsidR="002F5D50">
        <w:rPr>
          <w:rFonts w:eastAsiaTheme="minorEastAsia"/>
          <w:szCs w:val="20"/>
          <w:lang w:val="en-US"/>
        </w:rPr>
        <w:t xml:space="preserve">older </w:t>
      </w:r>
      <w:r w:rsidR="00317F6A" w:rsidRPr="0059317C">
        <w:rPr>
          <w:rFonts w:eastAsiaTheme="minorEastAsia"/>
          <w:szCs w:val="20"/>
          <w:lang w:val="en-US"/>
        </w:rPr>
        <w:t>seeds</w:t>
      </w:r>
      <w:r w:rsidR="00A22109">
        <w:rPr>
          <w:rFonts w:eastAsiaTheme="minorEastAsia"/>
          <w:szCs w:val="20"/>
          <w:lang w:val="en-US"/>
        </w:rPr>
        <w:t xml:space="preserve">, </w:t>
      </w:r>
      <w:r w:rsidR="00317F6A" w:rsidRPr="0059317C">
        <w:rPr>
          <w:rFonts w:eastAsiaTheme="minorEastAsia"/>
          <w:szCs w:val="20"/>
          <w:lang w:val="en-US"/>
        </w:rPr>
        <w:t>win</w:t>
      </w:r>
      <w:r w:rsidR="00FA3327" w:rsidRPr="0059317C">
        <w:rPr>
          <w:rFonts w:eastAsiaTheme="minorEastAsia"/>
          <w:szCs w:val="20"/>
          <w:lang w:val="en-US"/>
        </w:rPr>
        <w:t>d</w:t>
      </w:r>
      <w:r w:rsidR="00317F6A" w:rsidRPr="0059317C">
        <w:rPr>
          <w:rFonts w:eastAsiaTheme="minorEastAsia"/>
          <w:szCs w:val="20"/>
          <w:lang w:val="en-US"/>
        </w:rPr>
        <w:t xml:space="preserve">-borne deposition </w:t>
      </w:r>
      <w:r w:rsidR="00D25F8C" w:rsidRPr="0059317C">
        <w:rPr>
          <w:rFonts w:eastAsiaTheme="minorEastAsia"/>
          <w:szCs w:val="20"/>
          <w:lang w:val="en-US"/>
        </w:rPr>
        <w:t xml:space="preserve">of the latter </w:t>
      </w:r>
      <w:r w:rsidR="00317F6A" w:rsidRPr="0059317C">
        <w:rPr>
          <w:rFonts w:eastAsiaTheme="minorEastAsia"/>
          <w:szCs w:val="20"/>
          <w:lang w:val="en-US"/>
        </w:rPr>
        <w:t>from surrounding fields,</w:t>
      </w:r>
      <w:r w:rsidR="00D25F8C" w:rsidRPr="0059317C">
        <w:rPr>
          <w:rFonts w:eastAsiaTheme="minorEastAsia"/>
          <w:szCs w:val="20"/>
          <w:lang w:val="en-US"/>
        </w:rPr>
        <w:t xml:space="preserve"> </w:t>
      </w:r>
      <w:r w:rsidR="00A22109">
        <w:rPr>
          <w:rFonts w:eastAsiaTheme="minorEastAsia"/>
          <w:szCs w:val="20"/>
          <w:lang w:val="en-US"/>
        </w:rPr>
        <w:t>and/or</w:t>
      </w:r>
      <w:r w:rsidR="00317F6A" w:rsidRPr="0059317C">
        <w:rPr>
          <w:rFonts w:eastAsiaTheme="minorEastAsia"/>
          <w:szCs w:val="20"/>
          <w:lang w:val="en-US"/>
        </w:rPr>
        <w:t xml:space="preserve"> </w:t>
      </w:r>
      <w:r w:rsidR="00F42F33" w:rsidRPr="0059317C">
        <w:rPr>
          <w:rFonts w:eastAsiaTheme="minorEastAsia"/>
          <w:szCs w:val="20"/>
          <w:lang w:val="en-US"/>
        </w:rPr>
        <w:t>bioturbation</w:t>
      </w:r>
      <w:r w:rsidR="008354D9" w:rsidRPr="0059317C">
        <w:rPr>
          <w:rFonts w:eastAsiaTheme="minorEastAsia"/>
          <w:szCs w:val="20"/>
          <w:lang w:val="en-US"/>
        </w:rPr>
        <w:t xml:space="preserve"> </w:t>
      </w:r>
      <w:r w:rsidR="002F5D50" w:rsidRPr="0059317C">
        <w:rPr>
          <w:rFonts w:eastAsiaTheme="minorEastAsia"/>
          <w:szCs w:val="20"/>
          <w:lang w:val="en-US"/>
        </w:rPr>
        <w:t>in which seeds from a lower level worked their way up into higher stratigraphic levels of later date</w:t>
      </w:r>
      <w:r w:rsidR="002F5D50">
        <w:rPr>
          <w:rFonts w:eastAsiaTheme="minorEastAsia"/>
          <w:szCs w:val="20"/>
          <w:lang w:val="en-US"/>
        </w:rPr>
        <w:t>.</w:t>
      </w:r>
      <w:r w:rsidR="00A22109" w:rsidRPr="00A22109">
        <w:rPr>
          <w:rStyle w:val="FootnoteReference"/>
          <w:rFonts w:eastAsiaTheme="minorEastAsia"/>
          <w:szCs w:val="20"/>
          <w:lang w:val="en-US"/>
        </w:rPr>
        <w:t xml:space="preserve"> </w:t>
      </w:r>
      <w:r w:rsidR="00A22109">
        <w:rPr>
          <w:rStyle w:val="FootnoteReference"/>
          <w:rFonts w:eastAsiaTheme="minorEastAsia"/>
          <w:szCs w:val="20"/>
          <w:lang w:val="en-US"/>
        </w:rPr>
        <w:footnoteReference w:id="33"/>
      </w:r>
      <w:r w:rsidR="00A22109" w:rsidRPr="0059317C">
        <w:rPr>
          <w:rFonts w:eastAsiaTheme="minorEastAsia"/>
          <w:szCs w:val="20"/>
          <w:lang w:val="en-US"/>
        </w:rPr>
        <w:t xml:space="preserve"> </w:t>
      </w:r>
      <w:r w:rsidR="002F5D50">
        <w:rPr>
          <w:rFonts w:eastAsiaTheme="minorEastAsia"/>
          <w:szCs w:val="20"/>
          <w:lang w:val="en-US"/>
        </w:rPr>
        <w:t xml:space="preserve">  </w:t>
      </w:r>
      <w:r w:rsidR="00A22109">
        <w:rPr>
          <w:rFonts w:eastAsiaTheme="minorEastAsia"/>
          <w:szCs w:val="20"/>
          <w:lang w:val="en-US"/>
        </w:rPr>
        <w:t xml:space="preserve">Such </w:t>
      </w:r>
      <w:r w:rsidR="002F5D50">
        <w:rPr>
          <w:rFonts w:eastAsiaTheme="minorEastAsia"/>
          <w:szCs w:val="20"/>
          <w:lang w:val="en-US"/>
        </w:rPr>
        <w:t>explanation</w:t>
      </w:r>
      <w:r w:rsidR="00A22109">
        <w:rPr>
          <w:rFonts w:eastAsiaTheme="minorEastAsia"/>
          <w:szCs w:val="20"/>
          <w:lang w:val="en-US"/>
        </w:rPr>
        <w:t>s essentially</w:t>
      </w:r>
      <w:r w:rsidR="002F5D50">
        <w:rPr>
          <w:rFonts w:eastAsiaTheme="minorEastAsia"/>
          <w:szCs w:val="20"/>
          <w:lang w:val="en-US"/>
        </w:rPr>
        <w:t xml:space="preserve"> </w:t>
      </w:r>
      <w:r w:rsidR="009E738D">
        <w:rPr>
          <w:rFonts w:eastAsiaTheme="minorEastAsia"/>
          <w:szCs w:val="20"/>
          <w:lang w:val="en-US"/>
        </w:rPr>
        <w:t>ascribe the earlier dates</w:t>
      </w:r>
      <w:r w:rsidR="002F5D50">
        <w:rPr>
          <w:rFonts w:eastAsiaTheme="minorEastAsia"/>
          <w:szCs w:val="20"/>
          <w:lang w:val="en-US"/>
        </w:rPr>
        <w:t xml:space="preserve"> </w:t>
      </w:r>
      <w:r w:rsidR="009E738D">
        <w:rPr>
          <w:rFonts w:eastAsiaTheme="minorEastAsia"/>
          <w:szCs w:val="20"/>
          <w:lang w:val="en-US"/>
        </w:rPr>
        <w:t>to</w:t>
      </w:r>
      <w:r w:rsidR="00E92D1A">
        <w:rPr>
          <w:rFonts w:eastAsiaTheme="minorEastAsia"/>
          <w:szCs w:val="20"/>
          <w:lang w:val="en-US"/>
        </w:rPr>
        <w:t xml:space="preserve"> poor excavation </w:t>
      </w:r>
      <w:r w:rsidR="002F5D50">
        <w:rPr>
          <w:rFonts w:eastAsiaTheme="minorEastAsia"/>
          <w:szCs w:val="20"/>
          <w:lang w:val="en-US"/>
        </w:rPr>
        <w:t xml:space="preserve">technique </w:t>
      </w:r>
      <w:r w:rsidR="009E738D">
        <w:rPr>
          <w:rFonts w:eastAsiaTheme="minorEastAsia"/>
          <w:szCs w:val="20"/>
          <w:lang w:val="en-US"/>
        </w:rPr>
        <w:t>at Tell el-Dab`a by not distinguishing stratigraphic features and intermixing earlier material with later.</w:t>
      </w:r>
      <w:r w:rsidR="008354D9" w:rsidRPr="0059317C">
        <w:rPr>
          <w:rFonts w:eastAsiaTheme="minorEastAsia"/>
          <w:szCs w:val="20"/>
          <w:lang w:val="en-US"/>
        </w:rPr>
        <w:t xml:space="preserve"> </w:t>
      </w:r>
    </w:p>
    <w:p w14:paraId="2A8BD79B" w14:textId="77777777" w:rsidR="00F41AA1" w:rsidRDefault="00F41AA1" w:rsidP="00F64E5C">
      <w:pPr>
        <w:widowControl w:val="0"/>
        <w:autoSpaceDE w:val="0"/>
        <w:autoSpaceDN w:val="0"/>
        <w:adjustRightInd w:val="0"/>
        <w:spacing w:after="0" w:line="240" w:lineRule="auto"/>
        <w:rPr>
          <w:rFonts w:eastAsiaTheme="minorEastAsia"/>
          <w:szCs w:val="20"/>
          <w:lang w:val="en-US"/>
        </w:rPr>
      </w:pPr>
    </w:p>
    <w:p w14:paraId="51DB10E0" w14:textId="2E3C0D1D" w:rsidR="00367A4F" w:rsidRPr="0059317C" w:rsidRDefault="00D95E09" w:rsidP="00F64E5C">
      <w:pPr>
        <w:widowControl w:val="0"/>
        <w:autoSpaceDE w:val="0"/>
        <w:autoSpaceDN w:val="0"/>
        <w:adjustRightInd w:val="0"/>
        <w:spacing w:after="0" w:line="240" w:lineRule="auto"/>
        <w:rPr>
          <w:rFonts w:eastAsiaTheme="minorEastAsia"/>
          <w:szCs w:val="20"/>
          <w:lang w:val="en-US"/>
        </w:rPr>
      </w:pPr>
      <w:r w:rsidRPr="0059317C">
        <w:rPr>
          <w:rFonts w:eastAsiaTheme="minorEastAsia"/>
          <w:szCs w:val="20"/>
          <w:lang w:val="en-US"/>
        </w:rPr>
        <w:t xml:space="preserve">The evidence for such physical explanations </w:t>
      </w:r>
      <w:r w:rsidR="00FB76F7" w:rsidRPr="0059317C">
        <w:rPr>
          <w:rFonts w:eastAsiaTheme="minorEastAsia"/>
          <w:szCs w:val="20"/>
          <w:lang w:val="en-US"/>
        </w:rPr>
        <w:t>is</w:t>
      </w:r>
      <w:r w:rsidRPr="0059317C">
        <w:rPr>
          <w:rFonts w:eastAsiaTheme="minorEastAsia"/>
          <w:szCs w:val="20"/>
          <w:lang w:val="en-US"/>
        </w:rPr>
        <w:t xml:space="preserve"> minimal to non-existent.  How </w:t>
      </w:r>
      <w:r w:rsidR="00FB76F7" w:rsidRPr="0059317C">
        <w:rPr>
          <w:rFonts w:eastAsiaTheme="minorEastAsia"/>
          <w:szCs w:val="20"/>
          <w:lang w:val="en-US"/>
        </w:rPr>
        <w:lastRenderedPageBreak/>
        <w:t>c</w:t>
      </w:r>
      <w:r w:rsidRPr="0059317C">
        <w:rPr>
          <w:rFonts w:eastAsiaTheme="minorEastAsia"/>
          <w:szCs w:val="20"/>
          <w:lang w:val="en-US"/>
        </w:rPr>
        <w:t>ould all 4</w:t>
      </w:r>
      <w:r w:rsidR="00762D83" w:rsidRPr="0059317C">
        <w:rPr>
          <w:rFonts w:eastAsiaTheme="minorEastAsia"/>
          <w:szCs w:val="20"/>
          <w:lang w:val="en-US"/>
        </w:rPr>
        <w:t>7</w:t>
      </w:r>
      <w:r w:rsidR="00F42F33" w:rsidRPr="0059317C">
        <w:rPr>
          <w:rFonts w:eastAsiaTheme="minorEastAsia"/>
          <w:szCs w:val="20"/>
          <w:lang w:val="en-US"/>
        </w:rPr>
        <w:t xml:space="preserve"> </w:t>
      </w:r>
      <w:r w:rsidR="00FB76F7" w:rsidRPr="0059317C">
        <w:rPr>
          <w:rFonts w:eastAsiaTheme="minorEastAsia"/>
          <w:szCs w:val="20"/>
          <w:lang w:val="en-US"/>
        </w:rPr>
        <w:t>seeds have moved upwards</w:t>
      </w:r>
      <w:r w:rsidR="00762D83" w:rsidRPr="0059317C">
        <w:rPr>
          <w:rFonts w:eastAsiaTheme="minorEastAsia"/>
          <w:szCs w:val="20"/>
          <w:lang w:val="en-US"/>
        </w:rPr>
        <w:t xml:space="preserve"> en masse</w:t>
      </w:r>
      <w:r w:rsidR="00FB76F7" w:rsidRPr="0059317C">
        <w:rPr>
          <w:rFonts w:eastAsiaTheme="minorEastAsia"/>
          <w:szCs w:val="20"/>
          <w:lang w:val="en-US"/>
        </w:rPr>
        <w:t xml:space="preserve"> into later levels</w:t>
      </w:r>
      <w:r w:rsidR="00165D8D" w:rsidRPr="0059317C">
        <w:rPr>
          <w:rFonts w:eastAsiaTheme="minorEastAsia"/>
          <w:szCs w:val="20"/>
          <w:lang w:val="en-US"/>
        </w:rPr>
        <w:t>?</w:t>
      </w:r>
      <w:r w:rsidR="00FB76F7" w:rsidRPr="0059317C">
        <w:rPr>
          <w:rFonts w:eastAsiaTheme="minorEastAsia"/>
          <w:szCs w:val="20"/>
          <w:lang w:val="en-US"/>
        </w:rPr>
        <w:t xml:space="preserve">; such an explanation is tantamount to discounting all small radiocarbon samples found in excavations.  Where is the evidence for </w:t>
      </w:r>
      <w:r w:rsidR="00262292">
        <w:rPr>
          <w:rFonts w:eastAsiaTheme="minorEastAsia"/>
          <w:szCs w:val="20"/>
          <w:lang w:val="en-US"/>
        </w:rPr>
        <w:t xml:space="preserve">the erosion of older construction material, wind-borne deposition, or bioturbation that </w:t>
      </w:r>
      <w:r w:rsidR="005964FD" w:rsidRPr="0059317C">
        <w:rPr>
          <w:rFonts w:eastAsiaTheme="minorEastAsia"/>
          <w:szCs w:val="20"/>
          <w:lang w:val="en-US"/>
        </w:rPr>
        <w:t>affect</w:t>
      </w:r>
      <w:r w:rsidR="00262292">
        <w:rPr>
          <w:rFonts w:eastAsiaTheme="minorEastAsia"/>
          <w:szCs w:val="20"/>
          <w:lang w:val="en-US"/>
        </w:rPr>
        <w:t>ed</w:t>
      </w:r>
      <w:r w:rsidR="005964FD" w:rsidRPr="0059317C">
        <w:rPr>
          <w:rFonts w:eastAsiaTheme="minorEastAsia"/>
          <w:szCs w:val="20"/>
          <w:lang w:val="en-US"/>
        </w:rPr>
        <w:t xml:space="preserve"> all the variously situated samples in equal measure</w:t>
      </w:r>
      <w:r w:rsidR="000B04F0" w:rsidRPr="0059317C">
        <w:rPr>
          <w:rFonts w:eastAsiaTheme="minorEastAsia"/>
          <w:szCs w:val="20"/>
          <w:lang w:val="en-US"/>
        </w:rPr>
        <w:t xml:space="preserve">?  </w:t>
      </w:r>
      <w:r w:rsidR="006604AC" w:rsidRPr="0059317C">
        <w:rPr>
          <w:rFonts w:eastAsiaTheme="minorEastAsia"/>
          <w:szCs w:val="20"/>
          <w:lang w:val="en-US"/>
        </w:rPr>
        <w:t>Bietak</w:t>
      </w:r>
      <w:r w:rsidR="005964FD" w:rsidRPr="0059317C">
        <w:rPr>
          <w:rFonts w:eastAsiaTheme="minorEastAsia"/>
          <w:szCs w:val="20"/>
          <w:lang w:val="en-US"/>
        </w:rPr>
        <w:t xml:space="preserve"> goes so far as </w:t>
      </w:r>
      <w:r w:rsidR="004C2B27" w:rsidRPr="0059317C">
        <w:rPr>
          <w:rFonts w:eastAsiaTheme="minorEastAsia"/>
          <w:szCs w:val="20"/>
          <w:lang w:val="en-US"/>
        </w:rPr>
        <w:t xml:space="preserve">to propose that only the most recent radiocarbon dates should be accepted.  </w:t>
      </w:r>
      <w:r w:rsidR="000B04F0" w:rsidRPr="0059317C">
        <w:rPr>
          <w:rFonts w:eastAsiaTheme="minorEastAsia"/>
          <w:szCs w:val="20"/>
          <w:lang w:val="en-US"/>
        </w:rPr>
        <w:t>T</w:t>
      </w:r>
      <w:r w:rsidR="00F42F33" w:rsidRPr="0059317C">
        <w:rPr>
          <w:rFonts w:eastAsiaTheme="minorEastAsia"/>
          <w:szCs w:val="20"/>
          <w:lang w:val="en-US"/>
        </w:rPr>
        <w:t xml:space="preserve">he </w:t>
      </w:r>
      <w:r w:rsidR="000B04F0" w:rsidRPr="0059317C">
        <w:rPr>
          <w:rFonts w:eastAsiaTheme="minorEastAsia"/>
          <w:szCs w:val="20"/>
          <w:lang w:val="en-US"/>
        </w:rPr>
        <w:t xml:space="preserve">goal should not be to wiggle out of the radiocarbon data, but to take </w:t>
      </w:r>
      <w:r w:rsidR="006604AC" w:rsidRPr="0059317C">
        <w:rPr>
          <w:rFonts w:eastAsiaTheme="minorEastAsia"/>
          <w:szCs w:val="20"/>
          <w:lang w:val="en-US"/>
        </w:rPr>
        <w:t>them</w:t>
      </w:r>
      <w:r w:rsidR="000B04F0" w:rsidRPr="0059317C">
        <w:rPr>
          <w:rFonts w:eastAsiaTheme="minorEastAsia"/>
          <w:szCs w:val="20"/>
          <w:lang w:val="en-US"/>
        </w:rPr>
        <w:t xml:space="preserve"> at face value and </w:t>
      </w:r>
      <w:r w:rsidR="00CA4FB8" w:rsidRPr="0059317C">
        <w:rPr>
          <w:rFonts w:eastAsiaTheme="minorEastAsia"/>
          <w:szCs w:val="20"/>
          <w:lang w:val="en-US"/>
        </w:rPr>
        <w:t xml:space="preserve">try to explain the disparity between those data and </w:t>
      </w:r>
      <w:r w:rsidR="00717B67" w:rsidRPr="0059317C">
        <w:rPr>
          <w:rFonts w:eastAsiaTheme="minorEastAsia"/>
          <w:szCs w:val="20"/>
          <w:lang w:val="en-US"/>
        </w:rPr>
        <w:t>your</w:t>
      </w:r>
      <w:r w:rsidR="00CA4FB8" w:rsidRPr="0059317C">
        <w:rPr>
          <w:rFonts w:eastAsiaTheme="minorEastAsia"/>
          <w:szCs w:val="20"/>
          <w:lang w:val="en-US"/>
        </w:rPr>
        <w:t xml:space="preserve"> historical reconstruction in a scientific fashion </w:t>
      </w:r>
      <w:r w:rsidR="00717B67" w:rsidRPr="0059317C">
        <w:rPr>
          <w:rFonts w:eastAsiaTheme="minorEastAsia"/>
          <w:szCs w:val="20"/>
          <w:lang w:val="en-US"/>
        </w:rPr>
        <w:t>that does justice to</w:t>
      </w:r>
      <w:r w:rsidR="00CA4FB8" w:rsidRPr="0059317C">
        <w:rPr>
          <w:rFonts w:eastAsiaTheme="minorEastAsia"/>
          <w:szCs w:val="20"/>
          <w:lang w:val="en-US"/>
        </w:rPr>
        <w:t xml:space="preserve"> both disciplines.  It is no wonder that </w:t>
      </w:r>
      <w:r w:rsidR="00717B67" w:rsidRPr="0059317C">
        <w:rPr>
          <w:rFonts w:eastAsiaTheme="minorEastAsia"/>
          <w:szCs w:val="20"/>
          <w:lang w:val="en-US"/>
        </w:rPr>
        <w:t xml:space="preserve">Bietak </w:t>
      </w:r>
      <w:r w:rsidR="00CA4FB8" w:rsidRPr="0059317C">
        <w:rPr>
          <w:rFonts w:eastAsiaTheme="minorEastAsia"/>
          <w:szCs w:val="20"/>
          <w:lang w:val="en-US"/>
        </w:rPr>
        <w:t>has once again fallen into an unproductive</w:t>
      </w:r>
      <w:r w:rsidR="00717B67" w:rsidRPr="0059317C">
        <w:rPr>
          <w:rFonts w:eastAsiaTheme="minorEastAsia"/>
          <w:szCs w:val="20"/>
          <w:lang w:val="en-US"/>
        </w:rPr>
        <w:t xml:space="preserve"> and sometimes acrimoni</w:t>
      </w:r>
      <w:r w:rsidR="004C2B27" w:rsidRPr="0059317C">
        <w:rPr>
          <w:rFonts w:eastAsiaTheme="minorEastAsia"/>
          <w:szCs w:val="20"/>
          <w:lang w:val="en-US"/>
        </w:rPr>
        <w:t>o</w:t>
      </w:r>
      <w:r w:rsidR="00717B67" w:rsidRPr="0059317C">
        <w:rPr>
          <w:rFonts w:eastAsiaTheme="minorEastAsia"/>
          <w:szCs w:val="20"/>
          <w:lang w:val="en-US"/>
        </w:rPr>
        <w:t>us</w:t>
      </w:r>
      <w:r w:rsidR="00CA4FB8" w:rsidRPr="0059317C">
        <w:rPr>
          <w:rFonts w:eastAsiaTheme="minorEastAsia"/>
          <w:szCs w:val="20"/>
          <w:lang w:val="en-US"/>
        </w:rPr>
        <w:t xml:space="preserve"> debate with the natural scientists, including those in his own academy.</w:t>
      </w:r>
      <w:r w:rsidR="00CA4FB8" w:rsidRPr="0059317C">
        <w:rPr>
          <w:rStyle w:val="FootnoteReference"/>
          <w:rFonts w:eastAsiaTheme="minorEastAsia"/>
          <w:szCs w:val="20"/>
          <w:lang w:val="en-US"/>
        </w:rPr>
        <w:footnoteReference w:id="34"/>
      </w:r>
      <w:r w:rsidR="00F41AA1" w:rsidRPr="00F41AA1">
        <w:t xml:space="preserve"> </w:t>
      </w:r>
      <w:r w:rsidR="008D1D88">
        <w:rPr>
          <w:rFonts w:eastAsiaTheme="minorEastAsia"/>
          <w:szCs w:val="20"/>
          <w:lang w:val="en-US"/>
        </w:rPr>
        <w:t>We can only hope that he</w:t>
      </w:r>
      <w:r w:rsidR="00F41AA1" w:rsidRPr="00F41AA1">
        <w:rPr>
          <w:rFonts w:eastAsiaTheme="minorEastAsia"/>
          <w:szCs w:val="20"/>
          <w:lang w:val="en-US"/>
        </w:rPr>
        <w:t xml:space="preserve"> </w:t>
      </w:r>
      <w:r w:rsidR="008D1D88">
        <w:rPr>
          <w:rFonts w:eastAsiaTheme="minorEastAsia"/>
          <w:szCs w:val="20"/>
          <w:lang w:val="en-US"/>
        </w:rPr>
        <w:t xml:space="preserve">will </w:t>
      </w:r>
      <w:r w:rsidR="00F41AA1" w:rsidRPr="00F41AA1">
        <w:rPr>
          <w:rFonts w:eastAsiaTheme="minorEastAsia"/>
          <w:szCs w:val="20"/>
          <w:lang w:val="en-US"/>
        </w:rPr>
        <w:t>give more credence to the radiocarbon data</w:t>
      </w:r>
      <w:r w:rsidR="008D1D88">
        <w:rPr>
          <w:rFonts w:eastAsiaTheme="minorEastAsia"/>
          <w:szCs w:val="20"/>
          <w:lang w:val="en-US"/>
        </w:rPr>
        <w:t xml:space="preserve"> in the future</w:t>
      </w:r>
      <w:r w:rsidR="00F41AA1" w:rsidRPr="00F41AA1">
        <w:rPr>
          <w:rFonts w:eastAsiaTheme="minorEastAsia"/>
          <w:szCs w:val="20"/>
          <w:lang w:val="en-US"/>
        </w:rPr>
        <w:t xml:space="preserve">, which, if they are to be dismissed, </w:t>
      </w:r>
      <w:r w:rsidR="008D1D88">
        <w:rPr>
          <w:rFonts w:eastAsiaTheme="minorEastAsia"/>
          <w:szCs w:val="20"/>
          <w:lang w:val="en-US"/>
        </w:rPr>
        <w:t>should</w:t>
      </w:r>
      <w:r w:rsidR="00F41AA1" w:rsidRPr="00F41AA1">
        <w:rPr>
          <w:rFonts w:eastAsiaTheme="minorEastAsia"/>
          <w:szCs w:val="20"/>
          <w:lang w:val="en-US"/>
        </w:rPr>
        <w:t xml:space="preserve"> be done in a scientifically responsible way.  </w:t>
      </w:r>
    </w:p>
    <w:p w14:paraId="5C234AB9" w14:textId="77777777" w:rsidR="00CA4FB8" w:rsidRPr="0059317C" w:rsidRDefault="00CA4FB8" w:rsidP="00C109EF">
      <w:pPr>
        <w:widowControl w:val="0"/>
        <w:autoSpaceDE w:val="0"/>
        <w:autoSpaceDN w:val="0"/>
        <w:adjustRightInd w:val="0"/>
        <w:spacing w:after="0" w:line="240" w:lineRule="auto"/>
        <w:rPr>
          <w:rFonts w:eastAsiaTheme="minorEastAsia"/>
          <w:szCs w:val="20"/>
          <w:lang w:val="en-US"/>
        </w:rPr>
      </w:pPr>
    </w:p>
    <w:p w14:paraId="50F683E2" w14:textId="4F1346C2" w:rsidR="00FB064F" w:rsidRPr="0059317C" w:rsidRDefault="004F1693" w:rsidP="00C109EF">
      <w:pPr>
        <w:widowControl w:val="0"/>
        <w:autoSpaceDE w:val="0"/>
        <w:autoSpaceDN w:val="0"/>
        <w:adjustRightInd w:val="0"/>
        <w:spacing w:after="0" w:line="240" w:lineRule="auto"/>
        <w:rPr>
          <w:rFonts w:eastAsiaTheme="minorEastAsia"/>
          <w:szCs w:val="20"/>
          <w:lang w:val="en-US"/>
        </w:rPr>
      </w:pPr>
      <w:r>
        <w:rPr>
          <w:rFonts w:eastAsiaTheme="minorEastAsia"/>
          <w:szCs w:val="20"/>
          <w:lang w:val="en-US"/>
        </w:rPr>
        <w:t>S</w:t>
      </w:r>
      <w:r w:rsidR="00EC1627" w:rsidRPr="0059317C">
        <w:rPr>
          <w:rFonts w:eastAsiaTheme="minorEastAsia"/>
          <w:szCs w:val="20"/>
          <w:lang w:val="en-US"/>
        </w:rPr>
        <w:t>cientific method</w:t>
      </w:r>
      <w:r w:rsidR="00F43BC1" w:rsidRPr="0059317C">
        <w:rPr>
          <w:rFonts w:eastAsiaTheme="minorEastAsia"/>
          <w:szCs w:val="20"/>
          <w:lang w:val="en-US"/>
        </w:rPr>
        <w:t xml:space="preserve"> starts with </w:t>
      </w:r>
      <w:r w:rsidR="00C461A6" w:rsidRPr="0059317C">
        <w:rPr>
          <w:rFonts w:eastAsiaTheme="minorEastAsia"/>
          <w:szCs w:val="20"/>
          <w:lang w:val="en-US"/>
        </w:rPr>
        <w:t xml:space="preserve">a </w:t>
      </w:r>
      <w:r w:rsidR="00F43BC1" w:rsidRPr="0059317C">
        <w:rPr>
          <w:rFonts w:eastAsiaTheme="minorEastAsia"/>
          <w:szCs w:val="20"/>
          <w:lang w:val="en-US"/>
        </w:rPr>
        <w:t xml:space="preserve">well-ascertained </w:t>
      </w:r>
      <w:r w:rsidR="00C461A6" w:rsidRPr="0059317C">
        <w:rPr>
          <w:rFonts w:eastAsiaTheme="minorEastAsia"/>
          <w:szCs w:val="20"/>
          <w:lang w:val="en-US"/>
        </w:rPr>
        <w:t>and robust</w:t>
      </w:r>
      <w:r w:rsidR="00AE3394" w:rsidRPr="0059317C">
        <w:rPr>
          <w:rFonts w:eastAsiaTheme="minorEastAsia"/>
          <w:szCs w:val="20"/>
          <w:lang w:val="en-US"/>
        </w:rPr>
        <w:t xml:space="preserve"> </w:t>
      </w:r>
      <w:r w:rsidR="00F43BC1" w:rsidRPr="0059317C">
        <w:rPr>
          <w:rFonts w:eastAsiaTheme="minorEastAsia"/>
          <w:szCs w:val="20"/>
          <w:lang w:val="en-US"/>
        </w:rPr>
        <w:t>data</w:t>
      </w:r>
      <w:r w:rsidR="00C461A6" w:rsidRPr="0059317C">
        <w:rPr>
          <w:rFonts w:eastAsiaTheme="minorEastAsia"/>
          <w:szCs w:val="20"/>
          <w:lang w:val="en-US"/>
        </w:rPr>
        <w:t>set</w:t>
      </w:r>
      <w:r w:rsidR="00F43BC1" w:rsidRPr="0059317C">
        <w:rPr>
          <w:rFonts w:eastAsiaTheme="minorEastAsia"/>
          <w:szCs w:val="20"/>
          <w:lang w:val="en-US"/>
        </w:rPr>
        <w:t xml:space="preserve"> from which “working hypotheses” are induced</w:t>
      </w:r>
      <w:r w:rsidR="00A33054">
        <w:rPr>
          <w:rFonts w:eastAsiaTheme="minorEastAsia"/>
          <w:szCs w:val="20"/>
          <w:lang w:val="en-US"/>
        </w:rPr>
        <w:t xml:space="preserve"> (</w:t>
      </w:r>
      <w:r w:rsidR="00A33054" w:rsidRPr="0059317C">
        <w:rPr>
          <w:rFonts w:eastAsiaTheme="minorEastAsia"/>
          <w:szCs w:val="20"/>
          <w:lang w:val="en-US"/>
        </w:rPr>
        <w:t xml:space="preserve">for a fuller discussion of what follows, see </w:t>
      </w:r>
      <w:r w:rsidR="00A33054" w:rsidRPr="0059317C">
        <w:rPr>
          <w:rFonts w:eastAsia="Times New Roman"/>
          <w:szCs w:val="20"/>
          <w:lang w:val="en-US"/>
        </w:rPr>
        <w:t>footnote</w:t>
      </w:r>
      <w:r w:rsidR="00A33054" w:rsidRPr="0059317C">
        <w:rPr>
          <w:rFonts w:eastAsiaTheme="minorEastAsia"/>
          <w:szCs w:val="20"/>
          <w:lang w:val="en-US"/>
        </w:rPr>
        <w:t xml:space="preserve"> 4)</w:t>
      </w:r>
      <w:r w:rsidR="003E55DE" w:rsidRPr="0059317C">
        <w:rPr>
          <w:rFonts w:eastAsiaTheme="minorEastAsia"/>
          <w:szCs w:val="20"/>
          <w:lang w:val="en-US"/>
        </w:rPr>
        <w:t xml:space="preserve">.  If you’re on the right track, you should </w:t>
      </w:r>
      <w:r w:rsidR="00C461A6" w:rsidRPr="0059317C">
        <w:rPr>
          <w:rFonts w:eastAsiaTheme="minorEastAsia"/>
          <w:szCs w:val="20"/>
          <w:lang w:val="en-US"/>
        </w:rPr>
        <w:t xml:space="preserve">then </w:t>
      </w:r>
      <w:r w:rsidR="003E55DE" w:rsidRPr="0059317C">
        <w:rPr>
          <w:rFonts w:eastAsiaTheme="minorEastAsia"/>
          <w:szCs w:val="20"/>
          <w:lang w:val="en-US"/>
        </w:rPr>
        <w:t xml:space="preserve">be able to deduce other consequences, which, if confirmed, strengthen your case.   Like a modern forensic </w:t>
      </w:r>
      <w:r w:rsidR="00AE3394" w:rsidRPr="0059317C">
        <w:rPr>
          <w:rFonts w:eastAsiaTheme="minorEastAsia"/>
          <w:szCs w:val="20"/>
          <w:lang w:val="en-US"/>
        </w:rPr>
        <w:t>science</w:t>
      </w:r>
      <w:r w:rsidR="00E2310A" w:rsidRPr="0059317C">
        <w:rPr>
          <w:rFonts w:eastAsiaTheme="minorEastAsia"/>
          <w:szCs w:val="20"/>
          <w:lang w:val="en-US"/>
        </w:rPr>
        <w:t xml:space="preserve"> </w:t>
      </w:r>
      <w:r w:rsidR="003E55DE" w:rsidRPr="0059317C">
        <w:rPr>
          <w:rFonts w:eastAsiaTheme="minorEastAsia"/>
          <w:szCs w:val="20"/>
          <w:lang w:val="en-US"/>
        </w:rPr>
        <w:t>investigation, the smallest, most unintentional piece of evidence—a bit of DNA or a smattering of grape juice on the floor—may be most compelling.  One thing you do not do is throw out any meaningful data</w:t>
      </w:r>
      <w:r w:rsidR="00405752" w:rsidRPr="0059317C">
        <w:rPr>
          <w:rFonts w:eastAsiaTheme="minorEastAsia"/>
          <w:szCs w:val="20"/>
          <w:lang w:val="en-US"/>
        </w:rPr>
        <w:t>, like the NAA corpus,</w:t>
      </w:r>
      <w:r w:rsidR="00356686" w:rsidRPr="0059317C">
        <w:rPr>
          <w:rFonts w:eastAsiaTheme="minorEastAsia"/>
          <w:szCs w:val="20"/>
          <w:lang w:val="en-US"/>
        </w:rPr>
        <w:t xml:space="preserve"> or</w:t>
      </w:r>
      <w:r w:rsidR="00405752" w:rsidRPr="0059317C">
        <w:rPr>
          <w:rFonts w:eastAsiaTheme="minorEastAsia"/>
          <w:szCs w:val="20"/>
          <w:lang w:val="en-US"/>
        </w:rPr>
        <w:t xml:space="preserve"> </w:t>
      </w:r>
      <w:r w:rsidR="00356686" w:rsidRPr="0059317C">
        <w:rPr>
          <w:rFonts w:eastAsiaTheme="minorEastAsia"/>
          <w:szCs w:val="20"/>
          <w:lang w:val="en-US"/>
        </w:rPr>
        <w:t xml:space="preserve">cherry-pick </w:t>
      </w:r>
      <w:r w:rsidR="00405752" w:rsidRPr="0059317C">
        <w:rPr>
          <w:rFonts w:eastAsiaTheme="minorEastAsia"/>
          <w:szCs w:val="20"/>
          <w:lang w:val="en-US"/>
        </w:rPr>
        <w:t>your</w:t>
      </w:r>
      <w:r w:rsidR="00356686" w:rsidRPr="0059317C">
        <w:rPr>
          <w:rFonts w:eastAsiaTheme="minorEastAsia"/>
          <w:szCs w:val="20"/>
          <w:lang w:val="en-US"/>
        </w:rPr>
        <w:t xml:space="preserve"> data</w:t>
      </w:r>
      <w:r>
        <w:rPr>
          <w:rFonts w:eastAsiaTheme="minorEastAsia"/>
          <w:szCs w:val="20"/>
          <w:lang w:val="en-US"/>
        </w:rPr>
        <w:t xml:space="preserve"> </w:t>
      </w:r>
      <w:r w:rsidR="009E312B">
        <w:rPr>
          <w:rFonts w:eastAsiaTheme="minorEastAsia"/>
          <w:szCs w:val="20"/>
          <w:lang w:val="en-US"/>
        </w:rPr>
        <w:t xml:space="preserve">such as </w:t>
      </w:r>
      <w:r>
        <w:rPr>
          <w:rFonts w:eastAsiaTheme="minorEastAsia"/>
          <w:szCs w:val="20"/>
          <w:lang w:val="en-US"/>
        </w:rPr>
        <w:t xml:space="preserve">by citing only </w:t>
      </w:r>
      <w:r w:rsidR="00405752" w:rsidRPr="0059317C">
        <w:rPr>
          <w:rFonts w:eastAsiaTheme="minorEastAsia"/>
          <w:szCs w:val="20"/>
          <w:lang w:val="en-US"/>
        </w:rPr>
        <w:t>flawed and misinterpreted petrographic data, to</w:t>
      </w:r>
      <w:r w:rsidR="00356686" w:rsidRPr="0059317C">
        <w:rPr>
          <w:rFonts w:eastAsiaTheme="minorEastAsia"/>
          <w:szCs w:val="20"/>
          <w:lang w:val="en-US"/>
        </w:rPr>
        <w:t xml:space="preserve"> support your </w:t>
      </w:r>
      <w:r w:rsidR="00E5064F">
        <w:rPr>
          <w:rFonts w:eastAsiaTheme="minorEastAsia"/>
          <w:szCs w:val="20"/>
          <w:lang w:val="en-US"/>
        </w:rPr>
        <w:t>theories</w:t>
      </w:r>
      <w:r w:rsidR="00356686" w:rsidRPr="0059317C">
        <w:rPr>
          <w:rFonts w:eastAsiaTheme="minorEastAsia"/>
          <w:szCs w:val="20"/>
          <w:lang w:val="en-US"/>
        </w:rPr>
        <w:t>.</w:t>
      </w:r>
      <w:r w:rsidR="003E55DE" w:rsidRPr="0059317C">
        <w:rPr>
          <w:rFonts w:eastAsiaTheme="minorEastAsia"/>
          <w:szCs w:val="20"/>
          <w:lang w:val="en-US"/>
        </w:rPr>
        <w:t xml:space="preserve">  </w:t>
      </w:r>
    </w:p>
    <w:p w14:paraId="1C2E456D" w14:textId="77777777" w:rsidR="00FB064F" w:rsidRPr="0059317C" w:rsidRDefault="00FB064F" w:rsidP="00C109EF">
      <w:pPr>
        <w:widowControl w:val="0"/>
        <w:autoSpaceDE w:val="0"/>
        <w:autoSpaceDN w:val="0"/>
        <w:adjustRightInd w:val="0"/>
        <w:spacing w:after="0" w:line="240" w:lineRule="auto"/>
        <w:rPr>
          <w:rFonts w:eastAsiaTheme="minorEastAsia"/>
          <w:szCs w:val="20"/>
          <w:lang w:val="en-US"/>
        </w:rPr>
      </w:pPr>
    </w:p>
    <w:p w14:paraId="1B1B8463" w14:textId="4033C42E" w:rsidR="004064D1" w:rsidRDefault="0072497F" w:rsidP="00C109EF">
      <w:pPr>
        <w:widowControl w:val="0"/>
        <w:autoSpaceDE w:val="0"/>
        <w:autoSpaceDN w:val="0"/>
        <w:adjustRightInd w:val="0"/>
        <w:spacing w:after="0" w:line="240" w:lineRule="auto"/>
        <w:rPr>
          <w:rFonts w:eastAsiaTheme="minorEastAsia"/>
          <w:szCs w:val="20"/>
          <w:lang w:val="en-US"/>
        </w:rPr>
      </w:pPr>
      <w:r w:rsidRPr="0059317C">
        <w:rPr>
          <w:rFonts w:eastAsiaTheme="minorEastAsia"/>
          <w:szCs w:val="20"/>
          <w:lang w:val="en-US"/>
        </w:rPr>
        <w:t>These strictures are all the more important</w:t>
      </w:r>
      <w:r w:rsidR="0063102E" w:rsidRPr="0059317C">
        <w:rPr>
          <w:rFonts w:eastAsiaTheme="minorEastAsia"/>
          <w:szCs w:val="20"/>
          <w:lang w:val="en-US"/>
        </w:rPr>
        <w:t xml:space="preserve"> for an historical science like archaeol</w:t>
      </w:r>
      <w:r w:rsidR="0063102E" w:rsidRPr="0059317C">
        <w:rPr>
          <w:rFonts w:eastAsiaTheme="minorEastAsia"/>
          <w:szCs w:val="20"/>
          <w:lang w:val="en-US"/>
        </w:rPr>
        <w:lastRenderedPageBreak/>
        <w:t>ogy</w:t>
      </w:r>
      <w:r w:rsidRPr="0059317C">
        <w:rPr>
          <w:rFonts w:eastAsiaTheme="minorEastAsia"/>
          <w:szCs w:val="20"/>
          <w:lang w:val="en-US"/>
        </w:rPr>
        <w:t xml:space="preserve">, </w:t>
      </w:r>
      <w:r w:rsidR="0063102E" w:rsidRPr="0059317C">
        <w:rPr>
          <w:rFonts w:eastAsiaTheme="minorEastAsia"/>
          <w:szCs w:val="20"/>
          <w:lang w:val="en-US"/>
        </w:rPr>
        <w:t xml:space="preserve">whose </w:t>
      </w:r>
      <w:r w:rsidR="002B4F21" w:rsidRPr="0059317C">
        <w:rPr>
          <w:rFonts w:eastAsiaTheme="minorEastAsia"/>
          <w:szCs w:val="20"/>
          <w:lang w:val="en-US"/>
        </w:rPr>
        <w:t xml:space="preserve">interpretations </w:t>
      </w:r>
      <w:r w:rsidR="0063102E" w:rsidRPr="0059317C">
        <w:rPr>
          <w:rFonts w:eastAsiaTheme="minorEastAsia"/>
          <w:szCs w:val="20"/>
          <w:lang w:val="en-US"/>
        </w:rPr>
        <w:t>are</w:t>
      </w:r>
      <w:r w:rsidR="002B4F21" w:rsidRPr="0059317C">
        <w:rPr>
          <w:rFonts w:eastAsiaTheme="minorEastAsia"/>
          <w:szCs w:val="20"/>
          <w:lang w:val="en-US"/>
        </w:rPr>
        <w:t xml:space="preserve"> based on an extremely narrow</w:t>
      </w:r>
      <w:r w:rsidRPr="0059317C">
        <w:rPr>
          <w:rFonts w:eastAsiaTheme="minorEastAsia"/>
          <w:szCs w:val="20"/>
          <w:lang w:val="en-US"/>
        </w:rPr>
        <w:t xml:space="preserve">, fragmented, degraded, and often contaminated </w:t>
      </w:r>
      <w:r w:rsidR="00AE3394" w:rsidRPr="0059317C">
        <w:rPr>
          <w:rFonts w:eastAsiaTheme="minorEastAsia"/>
          <w:szCs w:val="20"/>
          <w:lang w:val="en-US"/>
        </w:rPr>
        <w:t xml:space="preserve">body of evidence, truly buried in the </w:t>
      </w:r>
      <w:r w:rsidRPr="0059317C">
        <w:rPr>
          <w:rFonts w:eastAsiaTheme="minorEastAsia"/>
          <w:szCs w:val="20"/>
          <w:lang w:val="en-US"/>
        </w:rPr>
        <w:t>past, where replicative experiments, the hallmark of the hard sciences</w:t>
      </w:r>
      <w:r w:rsidR="00AE3394" w:rsidRPr="0059317C">
        <w:rPr>
          <w:rFonts w:eastAsiaTheme="minorEastAsia"/>
          <w:szCs w:val="20"/>
          <w:lang w:val="en-US"/>
        </w:rPr>
        <w:t>, can</w:t>
      </w:r>
      <w:r w:rsidR="00FB064F" w:rsidRPr="0059317C">
        <w:rPr>
          <w:rFonts w:eastAsiaTheme="minorEastAsia"/>
          <w:szCs w:val="20"/>
          <w:lang w:val="en-US"/>
        </w:rPr>
        <w:t>not be carried out; they ca</w:t>
      </w:r>
      <w:r w:rsidR="00325471" w:rsidRPr="0059317C">
        <w:rPr>
          <w:rFonts w:eastAsiaTheme="minorEastAsia"/>
          <w:szCs w:val="20"/>
          <w:lang w:val="en-US"/>
        </w:rPr>
        <w:t>n</w:t>
      </w:r>
      <w:r w:rsidR="00FB064F" w:rsidRPr="0059317C">
        <w:rPr>
          <w:rFonts w:eastAsiaTheme="minorEastAsia"/>
          <w:szCs w:val="20"/>
          <w:lang w:val="en-US"/>
        </w:rPr>
        <w:t xml:space="preserve"> </w:t>
      </w:r>
      <w:r w:rsidR="00AE3394" w:rsidRPr="0059317C">
        <w:rPr>
          <w:rFonts w:eastAsiaTheme="minorEastAsia"/>
          <w:szCs w:val="20"/>
          <w:lang w:val="en-US"/>
        </w:rPr>
        <w:t xml:space="preserve">only be </w:t>
      </w:r>
      <w:r w:rsidRPr="0059317C">
        <w:rPr>
          <w:rFonts w:eastAsiaTheme="minorEastAsia"/>
          <w:szCs w:val="20"/>
          <w:lang w:val="en-US"/>
        </w:rPr>
        <w:t xml:space="preserve">approximated </w:t>
      </w:r>
      <w:r w:rsidR="0063102E" w:rsidRPr="0059317C">
        <w:rPr>
          <w:rFonts w:eastAsiaTheme="minorEastAsia"/>
          <w:szCs w:val="20"/>
          <w:lang w:val="en-US"/>
        </w:rPr>
        <w:t xml:space="preserve">to </w:t>
      </w:r>
      <w:r w:rsidRPr="0059317C">
        <w:rPr>
          <w:rFonts w:eastAsiaTheme="minorEastAsia"/>
          <w:szCs w:val="20"/>
          <w:lang w:val="en-US"/>
        </w:rPr>
        <w:t>by experimental archaeology</w:t>
      </w:r>
      <w:r w:rsidR="00AE3394" w:rsidRPr="0059317C">
        <w:rPr>
          <w:rFonts w:eastAsiaTheme="minorEastAsia"/>
          <w:szCs w:val="20"/>
          <w:lang w:val="en-US"/>
        </w:rPr>
        <w:t xml:space="preserve">.  </w:t>
      </w:r>
      <w:r w:rsidR="00325471" w:rsidRPr="0059317C">
        <w:rPr>
          <w:rFonts w:eastAsiaTheme="minorEastAsia"/>
          <w:szCs w:val="20"/>
          <w:lang w:val="en-US"/>
        </w:rPr>
        <w:t>The temptation to hold on to</w:t>
      </w:r>
      <w:r w:rsidR="002E5404" w:rsidRPr="0059317C">
        <w:rPr>
          <w:rFonts w:eastAsiaTheme="minorEastAsia"/>
          <w:szCs w:val="20"/>
          <w:lang w:val="en-US"/>
        </w:rPr>
        <w:t xml:space="preserve"> a poorly substantiated </w:t>
      </w:r>
      <w:r w:rsidR="009E312B">
        <w:rPr>
          <w:rFonts w:eastAsiaTheme="minorEastAsia"/>
          <w:szCs w:val="20"/>
          <w:lang w:val="en-US"/>
        </w:rPr>
        <w:t>theory</w:t>
      </w:r>
      <w:r w:rsidR="002E5404" w:rsidRPr="0059317C">
        <w:rPr>
          <w:rFonts w:eastAsiaTheme="minorEastAsia"/>
          <w:szCs w:val="20"/>
          <w:lang w:val="en-US"/>
        </w:rPr>
        <w:t>, despite mounting contrary evidence, is greater in archaeology than in the physical sciences.  If you make a mathematical mis</w:t>
      </w:r>
      <w:r w:rsidR="00356686" w:rsidRPr="0059317C">
        <w:rPr>
          <w:rFonts w:eastAsiaTheme="minorEastAsia"/>
          <w:szCs w:val="20"/>
          <w:lang w:val="en-US"/>
        </w:rPr>
        <w:t xml:space="preserve">take or misapply an equation in physics or chemistry, that may lead to disastrous consequences </w:t>
      </w:r>
      <w:r w:rsidR="003946AE" w:rsidRPr="0059317C">
        <w:rPr>
          <w:rFonts w:eastAsiaTheme="minorEastAsia"/>
          <w:szCs w:val="20"/>
          <w:lang w:val="en-US"/>
        </w:rPr>
        <w:t xml:space="preserve">in the real world, </w:t>
      </w:r>
      <w:r w:rsidR="00356686" w:rsidRPr="0059317C">
        <w:rPr>
          <w:rFonts w:eastAsiaTheme="minorEastAsia"/>
          <w:szCs w:val="20"/>
          <w:lang w:val="en-US"/>
        </w:rPr>
        <w:t>such a</w:t>
      </w:r>
      <w:r w:rsidR="00F429A1" w:rsidRPr="0059317C">
        <w:rPr>
          <w:rFonts w:eastAsiaTheme="minorEastAsia"/>
          <w:szCs w:val="20"/>
          <w:lang w:val="en-US"/>
        </w:rPr>
        <w:t>s a</w:t>
      </w:r>
      <w:r w:rsidR="00356686" w:rsidRPr="0059317C">
        <w:rPr>
          <w:rFonts w:eastAsiaTheme="minorEastAsia"/>
          <w:szCs w:val="20"/>
          <w:lang w:val="en-US"/>
        </w:rPr>
        <w:t xml:space="preserve"> bridge collapsing or a rocket blowing up</w:t>
      </w:r>
      <w:r w:rsidR="003946AE" w:rsidRPr="0059317C">
        <w:rPr>
          <w:rFonts w:eastAsiaTheme="minorEastAsia"/>
          <w:szCs w:val="20"/>
          <w:lang w:val="en-US"/>
        </w:rPr>
        <w:t xml:space="preserve">.  In archaeology, </w:t>
      </w:r>
      <w:r w:rsidR="005A4DC3" w:rsidRPr="0059317C">
        <w:rPr>
          <w:rFonts w:eastAsiaTheme="minorEastAsia"/>
          <w:szCs w:val="20"/>
          <w:lang w:val="en-US"/>
        </w:rPr>
        <w:t xml:space="preserve">the only check on </w:t>
      </w:r>
      <w:r w:rsidR="003946AE" w:rsidRPr="0059317C">
        <w:rPr>
          <w:rFonts w:eastAsiaTheme="minorEastAsia"/>
          <w:szCs w:val="20"/>
          <w:lang w:val="en-US"/>
        </w:rPr>
        <w:t>specula</w:t>
      </w:r>
      <w:r w:rsidR="005A4DC3" w:rsidRPr="0059317C">
        <w:rPr>
          <w:rFonts w:eastAsiaTheme="minorEastAsia"/>
          <w:szCs w:val="20"/>
          <w:lang w:val="en-US"/>
        </w:rPr>
        <w:t>tion is the application of scientific method.</w:t>
      </w:r>
      <w:r w:rsidR="003946AE" w:rsidRPr="0059317C">
        <w:rPr>
          <w:rFonts w:eastAsiaTheme="minorEastAsia"/>
          <w:szCs w:val="20"/>
          <w:lang w:val="en-US"/>
        </w:rPr>
        <w:t xml:space="preserve"> </w:t>
      </w:r>
      <w:r w:rsidR="00613A92" w:rsidRPr="0059317C">
        <w:rPr>
          <w:rFonts w:eastAsiaTheme="minorEastAsia"/>
          <w:szCs w:val="20"/>
          <w:lang w:val="en-US"/>
        </w:rPr>
        <w:t xml:space="preserve">  </w:t>
      </w:r>
    </w:p>
    <w:p w14:paraId="22D32393" w14:textId="77777777" w:rsidR="004064D1" w:rsidRDefault="004064D1" w:rsidP="00C109EF">
      <w:pPr>
        <w:widowControl w:val="0"/>
        <w:autoSpaceDE w:val="0"/>
        <w:autoSpaceDN w:val="0"/>
        <w:adjustRightInd w:val="0"/>
        <w:spacing w:after="0" w:line="240" w:lineRule="auto"/>
        <w:rPr>
          <w:rFonts w:eastAsiaTheme="minorEastAsia"/>
          <w:szCs w:val="20"/>
          <w:lang w:val="en-US"/>
        </w:rPr>
      </w:pPr>
    </w:p>
    <w:p w14:paraId="362A35A6" w14:textId="1CF9F1F4" w:rsidR="00454E5C" w:rsidRPr="0059317C" w:rsidRDefault="005A4DC3" w:rsidP="00C109EF">
      <w:pPr>
        <w:widowControl w:val="0"/>
        <w:autoSpaceDE w:val="0"/>
        <w:autoSpaceDN w:val="0"/>
        <w:adjustRightInd w:val="0"/>
        <w:spacing w:after="0" w:line="240" w:lineRule="auto"/>
        <w:rPr>
          <w:rFonts w:eastAsiaTheme="minorEastAsia"/>
          <w:szCs w:val="20"/>
          <w:lang w:val="en-US"/>
        </w:rPr>
      </w:pPr>
      <w:r w:rsidRPr="0059317C">
        <w:rPr>
          <w:rFonts w:eastAsiaTheme="minorEastAsia"/>
          <w:szCs w:val="20"/>
          <w:lang w:val="en-US"/>
        </w:rPr>
        <w:t xml:space="preserve">While </w:t>
      </w:r>
      <w:r w:rsidR="00613A92" w:rsidRPr="0059317C">
        <w:rPr>
          <w:rFonts w:eastAsiaTheme="minorEastAsia"/>
          <w:szCs w:val="20"/>
          <w:lang w:val="en-US"/>
        </w:rPr>
        <w:t>Dr. Bietak is to be commended on fully documenting the</w:t>
      </w:r>
      <w:r w:rsidR="005F2AF7" w:rsidRPr="0059317C">
        <w:rPr>
          <w:rFonts w:eastAsiaTheme="minorEastAsia"/>
          <w:szCs w:val="20"/>
          <w:lang w:val="en-US"/>
        </w:rPr>
        <w:t xml:space="preserve"> artifacts and</w:t>
      </w:r>
      <w:r w:rsidR="00613A92" w:rsidRPr="0059317C">
        <w:rPr>
          <w:rFonts w:eastAsiaTheme="minorEastAsia"/>
          <w:szCs w:val="20"/>
          <w:lang w:val="en-US"/>
        </w:rPr>
        <w:t xml:space="preserve"> </w:t>
      </w:r>
      <w:r w:rsidR="005F2AF7" w:rsidRPr="0059317C">
        <w:rPr>
          <w:rFonts w:eastAsiaTheme="minorEastAsia"/>
          <w:szCs w:val="20"/>
          <w:lang w:val="en-US"/>
        </w:rPr>
        <w:t>stratigraphy</w:t>
      </w:r>
      <w:r w:rsidR="00613A92" w:rsidRPr="0059317C">
        <w:rPr>
          <w:rFonts w:eastAsiaTheme="minorEastAsia"/>
          <w:szCs w:val="20"/>
          <w:lang w:val="en-US"/>
        </w:rPr>
        <w:t xml:space="preserve"> at Tell el-Dab`a</w:t>
      </w:r>
      <w:r w:rsidR="00834A63" w:rsidRPr="0059317C">
        <w:rPr>
          <w:rFonts w:eastAsiaTheme="minorEastAsia"/>
          <w:szCs w:val="20"/>
          <w:lang w:val="en-US"/>
        </w:rPr>
        <w:t xml:space="preserve"> from an archaeological perspective</w:t>
      </w:r>
      <w:r w:rsidRPr="0059317C">
        <w:rPr>
          <w:rFonts w:eastAsiaTheme="minorEastAsia"/>
          <w:szCs w:val="20"/>
          <w:lang w:val="en-US"/>
        </w:rPr>
        <w:t xml:space="preserve">, </w:t>
      </w:r>
      <w:r w:rsidR="00613A92" w:rsidRPr="0059317C">
        <w:rPr>
          <w:rFonts w:eastAsiaTheme="minorEastAsia"/>
          <w:szCs w:val="20"/>
          <w:lang w:val="en-US"/>
        </w:rPr>
        <w:t xml:space="preserve">he fails </w:t>
      </w:r>
      <w:r w:rsidR="00834A63" w:rsidRPr="0059317C">
        <w:rPr>
          <w:rFonts w:eastAsiaTheme="minorEastAsia"/>
          <w:szCs w:val="20"/>
          <w:lang w:val="en-US"/>
        </w:rPr>
        <w:t xml:space="preserve">in </w:t>
      </w:r>
      <w:r w:rsidRPr="0059317C">
        <w:rPr>
          <w:rFonts w:eastAsiaTheme="minorEastAsia"/>
          <w:szCs w:val="20"/>
          <w:lang w:val="en-US"/>
        </w:rPr>
        <w:t>his appropriation of data and interpretat</w:t>
      </w:r>
      <w:r w:rsidR="00E2310A" w:rsidRPr="0059317C">
        <w:rPr>
          <w:rFonts w:eastAsiaTheme="minorEastAsia"/>
          <w:szCs w:val="20"/>
          <w:lang w:val="en-US"/>
        </w:rPr>
        <w:t>i</w:t>
      </w:r>
      <w:r w:rsidRPr="0059317C">
        <w:rPr>
          <w:rFonts w:eastAsiaTheme="minorEastAsia"/>
          <w:szCs w:val="20"/>
          <w:lang w:val="en-US"/>
        </w:rPr>
        <w:t xml:space="preserve">ons from the natural sciences.  </w:t>
      </w:r>
      <w:r w:rsidR="00454E5C" w:rsidRPr="0059317C">
        <w:rPr>
          <w:rFonts w:eastAsiaTheme="minorEastAsia"/>
          <w:szCs w:val="20"/>
          <w:lang w:val="en-US"/>
        </w:rPr>
        <w:t>A</w:t>
      </w:r>
      <w:r w:rsidR="00834A63" w:rsidRPr="0059317C">
        <w:rPr>
          <w:rFonts w:eastAsiaTheme="minorEastAsia"/>
          <w:szCs w:val="20"/>
          <w:lang w:val="en-US"/>
        </w:rPr>
        <w:t xml:space="preserve">ttempting to block the publication of </w:t>
      </w:r>
      <w:r w:rsidR="00454E5C" w:rsidRPr="0059317C">
        <w:rPr>
          <w:rFonts w:eastAsiaTheme="minorEastAsia"/>
          <w:szCs w:val="20"/>
          <w:lang w:val="en-US"/>
        </w:rPr>
        <w:t xml:space="preserve">the NAA </w:t>
      </w:r>
      <w:r w:rsidR="00834A63" w:rsidRPr="0059317C">
        <w:rPr>
          <w:rFonts w:eastAsiaTheme="minorEastAsia"/>
          <w:szCs w:val="20"/>
          <w:lang w:val="en-US"/>
        </w:rPr>
        <w:t>data</w:t>
      </w:r>
      <w:r w:rsidR="00454E5C" w:rsidRPr="0059317C">
        <w:rPr>
          <w:rFonts w:eastAsiaTheme="minorEastAsia"/>
          <w:szCs w:val="20"/>
          <w:lang w:val="en-US"/>
        </w:rPr>
        <w:t xml:space="preserve"> and a contrary viewpoint to his own, reported on in this volume, </w:t>
      </w:r>
      <w:r w:rsidR="008372B6" w:rsidRPr="0059317C">
        <w:rPr>
          <w:rFonts w:eastAsiaTheme="minorEastAsia"/>
          <w:szCs w:val="20"/>
          <w:lang w:val="en-US"/>
        </w:rPr>
        <w:t xml:space="preserve">continuing to attack its conclusions in numerous articles, and </w:t>
      </w:r>
      <w:r w:rsidR="0075568F" w:rsidRPr="0059317C">
        <w:rPr>
          <w:rFonts w:eastAsiaTheme="minorEastAsia"/>
          <w:szCs w:val="20"/>
          <w:lang w:val="en-US"/>
        </w:rPr>
        <w:t>marshalling</w:t>
      </w:r>
      <w:r w:rsidR="008372B6" w:rsidRPr="0059317C">
        <w:rPr>
          <w:rFonts w:eastAsiaTheme="minorEastAsia"/>
          <w:szCs w:val="20"/>
          <w:lang w:val="en-US"/>
        </w:rPr>
        <w:t xml:space="preserve"> others to follow suit are</w:t>
      </w:r>
      <w:r w:rsidR="00454E5C" w:rsidRPr="0059317C">
        <w:rPr>
          <w:rFonts w:eastAsiaTheme="minorEastAsia"/>
          <w:szCs w:val="20"/>
          <w:lang w:val="en-US"/>
        </w:rPr>
        <w:t xml:space="preserve"> </w:t>
      </w:r>
      <w:r w:rsidR="005F2AF7" w:rsidRPr="0059317C">
        <w:rPr>
          <w:rFonts w:eastAsiaTheme="minorEastAsia"/>
          <w:szCs w:val="20"/>
          <w:lang w:val="en-US"/>
        </w:rPr>
        <w:t>other</w:t>
      </w:r>
      <w:r w:rsidR="00454E5C" w:rsidRPr="0059317C">
        <w:rPr>
          <w:rFonts w:eastAsiaTheme="minorEastAsia"/>
          <w:szCs w:val="20"/>
          <w:lang w:val="en-US"/>
        </w:rPr>
        <w:t xml:space="preserve"> case</w:t>
      </w:r>
      <w:r w:rsidR="008372B6" w:rsidRPr="0059317C">
        <w:rPr>
          <w:rFonts w:eastAsiaTheme="minorEastAsia"/>
          <w:szCs w:val="20"/>
          <w:lang w:val="en-US"/>
        </w:rPr>
        <w:t>s</w:t>
      </w:r>
      <w:r w:rsidR="00454E5C" w:rsidRPr="0059317C">
        <w:rPr>
          <w:rFonts w:eastAsiaTheme="minorEastAsia"/>
          <w:szCs w:val="20"/>
          <w:lang w:val="en-US"/>
        </w:rPr>
        <w:t xml:space="preserve"> in point.</w:t>
      </w:r>
      <w:r w:rsidR="008372B6" w:rsidRPr="0059317C">
        <w:rPr>
          <w:rFonts w:eastAsiaTheme="minorEastAsia"/>
          <w:szCs w:val="20"/>
          <w:lang w:val="en-US"/>
        </w:rPr>
        <w:t xml:space="preserve">  Such </w:t>
      </w:r>
      <w:r w:rsidR="00C55042" w:rsidRPr="0059317C">
        <w:rPr>
          <w:rFonts w:eastAsiaTheme="minorEastAsia"/>
          <w:szCs w:val="20"/>
          <w:lang w:val="en-US"/>
        </w:rPr>
        <w:t>dogmatism do</w:t>
      </w:r>
      <w:r w:rsidR="00D93540" w:rsidRPr="0059317C">
        <w:rPr>
          <w:rFonts w:eastAsiaTheme="minorEastAsia"/>
          <w:szCs w:val="20"/>
          <w:lang w:val="en-US"/>
        </w:rPr>
        <w:t>es</w:t>
      </w:r>
      <w:r w:rsidR="00C55042" w:rsidRPr="0059317C">
        <w:rPr>
          <w:rFonts w:eastAsiaTheme="minorEastAsia"/>
          <w:szCs w:val="20"/>
          <w:lang w:val="en-US"/>
        </w:rPr>
        <w:t xml:space="preserve"> not foster the pursuit of the truth in true scientific fashion. </w:t>
      </w:r>
      <w:r w:rsidR="008372B6" w:rsidRPr="0059317C">
        <w:rPr>
          <w:rFonts w:eastAsiaTheme="minorEastAsia"/>
          <w:szCs w:val="20"/>
          <w:lang w:val="en-US"/>
        </w:rPr>
        <w:t xml:space="preserve">   </w:t>
      </w:r>
    </w:p>
    <w:p w14:paraId="0C58ECFC" w14:textId="77777777" w:rsidR="00DA5576" w:rsidRPr="0059317C" w:rsidRDefault="00DA5576" w:rsidP="00DA5576">
      <w:pPr>
        <w:widowControl w:val="0"/>
        <w:autoSpaceDE w:val="0"/>
        <w:autoSpaceDN w:val="0"/>
        <w:adjustRightInd w:val="0"/>
        <w:spacing w:after="0" w:line="240" w:lineRule="auto"/>
        <w:rPr>
          <w:rFonts w:eastAsia="Times New Roman"/>
          <w:szCs w:val="20"/>
          <w:lang w:val="en-US"/>
        </w:rPr>
      </w:pPr>
    </w:p>
    <w:p w14:paraId="406358EE" w14:textId="50F5105D" w:rsidR="00405B39" w:rsidRPr="001A312F" w:rsidRDefault="001A312F" w:rsidP="00405B39">
      <w:pPr>
        <w:widowControl w:val="0"/>
        <w:autoSpaceDE w:val="0"/>
        <w:autoSpaceDN w:val="0"/>
        <w:adjustRightInd w:val="0"/>
        <w:spacing w:after="0" w:line="240" w:lineRule="auto"/>
        <w:rPr>
          <w:rFonts w:eastAsia="Times New Roman"/>
          <w:b/>
          <w:szCs w:val="24"/>
          <w:lang w:val="en-US"/>
        </w:rPr>
      </w:pPr>
      <w:r w:rsidRPr="001A312F">
        <w:rPr>
          <w:rFonts w:eastAsia="Times New Roman"/>
          <w:b/>
          <w:szCs w:val="24"/>
          <w:lang w:val="en-US"/>
        </w:rPr>
        <w:t>Final Comments</w:t>
      </w:r>
      <w:r w:rsidR="00920198">
        <w:rPr>
          <w:rFonts w:eastAsia="Times New Roman"/>
          <w:b/>
          <w:szCs w:val="24"/>
          <w:lang w:val="en-US"/>
        </w:rPr>
        <w:t xml:space="preserve"> and</w:t>
      </w:r>
      <w:r w:rsidR="00405B39">
        <w:rPr>
          <w:rFonts w:eastAsia="Times New Roman"/>
          <w:b/>
          <w:szCs w:val="24"/>
          <w:lang w:val="en-US"/>
        </w:rPr>
        <w:t xml:space="preserve"> Looking Back</w:t>
      </w:r>
    </w:p>
    <w:p w14:paraId="68BAE096" w14:textId="77777777" w:rsidR="001A312F" w:rsidRDefault="001A312F" w:rsidP="005125F6">
      <w:pPr>
        <w:widowControl w:val="0"/>
        <w:autoSpaceDE w:val="0"/>
        <w:autoSpaceDN w:val="0"/>
        <w:adjustRightInd w:val="0"/>
        <w:spacing w:after="0" w:line="240" w:lineRule="auto"/>
        <w:rPr>
          <w:rFonts w:eastAsiaTheme="minorEastAsia"/>
          <w:szCs w:val="20"/>
          <w:lang w:val="en-US"/>
        </w:rPr>
      </w:pPr>
    </w:p>
    <w:p w14:paraId="6446D500" w14:textId="77777777" w:rsidR="008D6F5D" w:rsidRPr="0059317C" w:rsidRDefault="00054139" w:rsidP="005125F6">
      <w:pPr>
        <w:widowControl w:val="0"/>
        <w:autoSpaceDE w:val="0"/>
        <w:autoSpaceDN w:val="0"/>
        <w:adjustRightInd w:val="0"/>
        <w:spacing w:after="0" w:line="240" w:lineRule="auto"/>
        <w:rPr>
          <w:rFonts w:eastAsiaTheme="minorEastAsia"/>
          <w:szCs w:val="20"/>
          <w:lang w:val="en-US"/>
        </w:rPr>
      </w:pPr>
      <w:r w:rsidRPr="0059317C">
        <w:rPr>
          <w:rFonts w:eastAsiaTheme="minorEastAsia"/>
          <w:szCs w:val="20"/>
          <w:lang w:val="en-US"/>
        </w:rPr>
        <w:t xml:space="preserve">This writer did the best </w:t>
      </w:r>
      <w:r w:rsidR="00026882" w:rsidRPr="0059317C">
        <w:rPr>
          <w:rFonts w:eastAsiaTheme="minorEastAsia"/>
          <w:szCs w:val="20"/>
          <w:lang w:val="en-US"/>
        </w:rPr>
        <w:t xml:space="preserve">he could </w:t>
      </w:r>
      <w:r w:rsidRPr="0059317C">
        <w:rPr>
          <w:rFonts w:eastAsiaTheme="minorEastAsia"/>
          <w:szCs w:val="20"/>
          <w:lang w:val="en-US"/>
        </w:rPr>
        <w:t xml:space="preserve">with the </w:t>
      </w:r>
      <w:r w:rsidR="00F0436B" w:rsidRPr="0059317C">
        <w:rPr>
          <w:rFonts w:eastAsiaTheme="minorEastAsia"/>
          <w:szCs w:val="20"/>
          <w:lang w:val="en-US"/>
        </w:rPr>
        <w:t xml:space="preserve">archaeological samples </w:t>
      </w:r>
      <w:r w:rsidR="007F7DE2" w:rsidRPr="0059317C">
        <w:rPr>
          <w:rFonts w:eastAsiaTheme="minorEastAsia"/>
          <w:szCs w:val="20"/>
          <w:lang w:val="en-US"/>
        </w:rPr>
        <w:t xml:space="preserve">that were passed on to him by Dr. Bietak, who personally chose most of the Tell el-Dab`a samples and </w:t>
      </w:r>
      <w:r w:rsidR="00816798" w:rsidRPr="0059317C">
        <w:rPr>
          <w:rFonts w:eastAsiaTheme="minorEastAsia"/>
          <w:szCs w:val="20"/>
          <w:lang w:val="en-US"/>
        </w:rPr>
        <w:t xml:space="preserve">who </w:t>
      </w:r>
      <w:r w:rsidR="007F7DE2" w:rsidRPr="0059317C">
        <w:rPr>
          <w:rFonts w:eastAsiaTheme="minorEastAsia"/>
          <w:szCs w:val="20"/>
          <w:lang w:val="en-US"/>
        </w:rPr>
        <w:t xml:space="preserve">conferred closely on </w:t>
      </w:r>
      <w:r w:rsidR="00200B16" w:rsidRPr="0059317C">
        <w:rPr>
          <w:rFonts w:eastAsiaTheme="minorEastAsia"/>
          <w:szCs w:val="20"/>
          <w:lang w:val="en-US"/>
        </w:rPr>
        <w:t xml:space="preserve">the sampling of </w:t>
      </w:r>
      <w:r w:rsidR="007F7DE2" w:rsidRPr="0059317C">
        <w:rPr>
          <w:rFonts w:eastAsiaTheme="minorEastAsia"/>
          <w:szCs w:val="20"/>
          <w:lang w:val="en-US"/>
        </w:rPr>
        <w:t>MB</w:t>
      </w:r>
      <w:r w:rsidR="00200B16" w:rsidRPr="0059317C">
        <w:rPr>
          <w:rFonts w:eastAsiaTheme="minorEastAsia"/>
          <w:szCs w:val="20"/>
          <w:lang w:val="en-US"/>
        </w:rPr>
        <w:t>A pottery from sites throughout Syria-Palestine</w:t>
      </w:r>
      <w:r w:rsidR="007F7DE2" w:rsidRPr="0059317C">
        <w:rPr>
          <w:rFonts w:eastAsiaTheme="minorEastAsia"/>
          <w:szCs w:val="20"/>
          <w:lang w:val="en-US"/>
        </w:rPr>
        <w:t xml:space="preserve"> </w:t>
      </w:r>
      <w:r w:rsidR="00200B16" w:rsidRPr="0059317C">
        <w:rPr>
          <w:rFonts w:eastAsiaTheme="minorEastAsia"/>
          <w:szCs w:val="20"/>
          <w:lang w:val="en-US"/>
        </w:rPr>
        <w:t>carried out by</w:t>
      </w:r>
      <w:r w:rsidR="007F7DE2" w:rsidRPr="0059317C">
        <w:rPr>
          <w:rFonts w:eastAsiaTheme="minorEastAsia"/>
          <w:szCs w:val="20"/>
          <w:lang w:val="en-US"/>
        </w:rPr>
        <w:t xml:space="preserve"> Mrs. Joan Huntoon, a member of his staff</w:t>
      </w:r>
      <w:r w:rsidR="00F871AD" w:rsidRPr="0059317C">
        <w:rPr>
          <w:rFonts w:eastAsiaTheme="minorEastAsia"/>
          <w:szCs w:val="20"/>
          <w:lang w:val="en-US"/>
        </w:rPr>
        <w:t xml:space="preserve"> and from whom I took over the project after her death</w:t>
      </w:r>
      <w:r w:rsidR="00200B16" w:rsidRPr="0059317C">
        <w:rPr>
          <w:rFonts w:eastAsiaTheme="minorEastAsia"/>
          <w:szCs w:val="20"/>
          <w:lang w:val="en-US"/>
        </w:rPr>
        <w:t xml:space="preserve">.  The </w:t>
      </w:r>
      <w:r w:rsidR="00EB1F0B" w:rsidRPr="0059317C">
        <w:rPr>
          <w:rFonts w:eastAsiaTheme="minorEastAsia"/>
          <w:szCs w:val="20"/>
          <w:lang w:val="en-US"/>
        </w:rPr>
        <w:t>regrettable</w:t>
      </w:r>
      <w:r w:rsidR="00200B16" w:rsidRPr="0059317C">
        <w:rPr>
          <w:rFonts w:eastAsiaTheme="minorEastAsia"/>
          <w:szCs w:val="20"/>
          <w:lang w:val="en-US"/>
        </w:rPr>
        <w:t xml:space="preserve"> limitations of the Byblos evidence are specifically pointed out in the book (</w:t>
      </w:r>
      <w:r w:rsidR="009B25AD" w:rsidRPr="0059317C">
        <w:rPr>
          <w:rFonts w:eastAsiaTheme="minorEastAsia"/>
          <w:szCs w:val="20"/>
          <w:lang w:val="en-US"/>
        </w:rPr>
        <w:t xml:space="preserve">pp. 9, 29, </w:t>
      </w:r>
      <w:r w:rsidR="00EB1F0B" w:rsidRPr="0059317C">
        <w:rPr>
          <w:rFonts w:eastAsiaTheme="minorEastAsia"/>
          <w:szCs w:val="20"/>
          <w:lang w:val="en-US"/>
        </w:rPr>
        <w:t xml:space="preserve">and </w:t>
      </w:r>
      <w:r w:rsidR="009B25AD" w:rsidRPr="0059317C">
        <w:rPr>
          <w:rFonts w:eastAsiaTheme="minorEastAsia"/>
          <w:szCs w:val="20"/>
          <w:lang w:val="en-US"/>
        </w:rPr>
        <w:t>70</w:t>
      </w:r>
      <w:r w:rsidR="00EB1F0B" w:rsidRPr="0059317C">
        <w:rPr>
          <w:rFonts w:eastAsiaTheme="minorEastAsia"/>
          <w:szCs w:val="20"/>
          <w:lang w:val="en-US"/>
        </w:rPr>
        <w:t xml:space="preserve">).  </w:t>
      </w:r>
      <w:r w:rsidR="009215C5" w:rsidRPr="0059317C">
        <w:rPr>
          <w:rFonts w:eastAsiaTheme="minorEastAsia"/>
          <w:szCs w:val="20"/>
          <w:lang w:val="en-US"/>
        </w:rPr>
        <w:t xml:space="preserve">I went to </w:t>
      </w:r>
      <w:r w:rsidR="00A63782" w:rsidRPr="0059317C">
        <w:rPr>
          <w:rFonts w:eastAsiaTheme="minorEastAsia"/>
          <w:szCs w:val="20"/>
          <w:lang w:val="en-US"/>
        </w:rPr>
        <w:t>considerable</w:t>
      </w:r>
      <w:r w:rsidR="009215C5" w:rsidRPr="0059317C">
        <w:rPr>
          <w:rFonts w:eastAsiaTheme="minorEastAsia"/>
          <w:szCs w:val="20"/>
          <w:lang w:val="en-US"/>
        </w:rPr>
        <w:t xml:space="preserve"> lengths to apply p</w:t>
      </w:r>
      <w:r w:rsidR="00EB1F0B" w:rsidRPr="0059317C">
        <w:rPr>
          <w:rFonts w:eastAsiaTheme="minorEastAsia"/>
          <w:szCs w:val="20"/>
          <w:lang w:val="en-US"/>
        </w:rPr>
        <w:t xml:space="preserve">owerful statistical tests, however, to the available data, and the small Byblos group was clearly shown to differ from the Southern Palestinian group and be closer to </w:t>
      </w:r>
      <w:r w:rsidR="00F871AD" w:rsidRPr="0059317C">
        <w:rPr>
          <w:rFonts w:eastAsiaTheme="minorEastAsia"/>
          <w:szCs w:val="20"/>
          <w:lang w:val="en-US"/>
        </w:rPr>
        <w:t>better-defined groups in the north</w:t>
      </w:r>
      <w:r w:rsidR="00C73221" w:rsidRPr="0059317C">
        <w:rPr>
          <w:rFonts w:eastAsiaTheme="minorEastAsia"/>
          <w:szCs w:val="20"/>
          <w:lang w:val="en-US"/>
        </w:rPr>
        <w:t>ern Levant</w:t>
      </w:r>
      <w:r w:rsidR="00F871AD" w:rsidRPr="0059317C">
        <w:rPr>
          <w:rFonts w:eastAsiaTheme="minorEastAsia"/>
          <w:szCs w:val="20"/>
          <w:lang w:val="en-US"/>
        </w:rPr>
        <w:t xml:space="preserve"> and Jordan (compare the dendrogram, Fig. 2, and the principal component plot, Fig. 14).  </w:t>
      </w:r>
    </w:p>
    <w:p w14:paraId="0C663A2B" w14:textId="77777777" w:rsidR="008D6F5D" w:rsidRPr="0059317C" w:rsidRDefault="008D6F5D" w:rsidP="005125F6">
      <w:pPr>
        <w:widowControl w:val="0"/>
        <w:autoSpaceDE w:val="0"/>
        <w:autoSpaceDN w:val="0"/>
        <w:adjustRightInd w:val="0"/>
        <w:spacing w:after="0" w:line="240" w:lineRule="auto"/>
        <w:rPr>
          <w:rFonts w:eastAsiaTheme="minorEastAsia"/>
          <w:szCs w:val="20"/>
          <w:lang w:val="en-US"/>
        </w:rPr>
      </w:pPr>
    </w:p>
    <w:p w14:paraId="48D23CF1" w14:textId="3BC3DDEE" w:rsidR="002F365A" w:rsidRPr="0059317C" w:rsidRDefault="00D76DEF" w:rsidP="005125F6">
      <w:pPr>
        <w:widowControl w:val="0"/>
        <w:autoSpaceDE w:val="0"/>
        <w:autoSpaceDN w:val="0"/>
        <w:adjustRightInd w:val="0"/>
        <w:spacing w:after="0" w:line="240" w:lineRule="auto"/>
        <w:rPr>
          <w:rFonts w:eastAsiaTheme="minorEastAsia"/>
          <w:szCs w:val="20"/>
          <w:lang w:val="en-US"/>
        </w:rPr>
      </w:pPr>
      <w:r w:rsidRPr="0059317C">
        <w:rPr>
          <w:rFonts w:eastAsiaTheme="minorEastAsia"/>
          <w:szCs w:val="20"/>
          <w:lang w:val="en-US"/>
        </w:rPr>
        <w:t xml:space="preserve">While I remain convinced of the </w:t>
      </w:r>
      <w:r w:rsidR="00946553" w:rsidRPr="0059317C">
        <w:rPr>
          <w:rFonts w:eastAsiaTheme="minorEastAsia"/>
          <w:szCs w:val="20"/>
          <w:lang w:val="en-US"/>
        </w:rPr>
        <w:t xml:space="preserve">central </w:t>
      </w:r>
      <w:r w:rsidR="001F0B52" w:rsidRPr="0059317C">
        <w:rPr>
          <w:rFonts w:eastAsiaTheme="minorEastAsia"/>
          <w:szCs w:val="20"/>
          <w:lang w:val="en-US"/>
        </w:rPr>
        <w:t>tenet</w:t>
      </w:r>
      <w:r w:rsidRPr="0059317C">
        <w:rPr>
          <w:rFonts w:eastAsiaTheme="minorEastAsia"/>
          <w:szCs w:val="20"/>
          <w:lang w:val="en-US"/>
        </w:rPr>
        <w:t xml:space="preserve"> </w:t>
      </w:r>
      <w:r w:rsidR="00946553" w:rsidRPr="0059317C">
        <w:rPr>
          <w:rFonts w:eastAsiaTheme="minorEastAsia"/>
          <w:szCs w:val="20"/>
          <w:lang w:val="en-US"/>
        </w:rPr>
        <w:t>of the</w:t>
      </w:r>
      <w:r w:rsidRPr="0059317C">
        <w:rPr>
          <w:rFonts w:eastAsiaTheme="minorEastAsia"/>
          <w:szCs w:val="20"/>
          <w:lang w:val="en-US"/>
        </w:rPr>
        <w:t xml:space="preserve"> book</w:t>
      </w:r>
      <w:r w:rsidR="00946553" w:rsidRPr="0059317C">
        <w:rPr>
          <w:rFonts w:eastAsiaTheme="minorEastAsia"/>
          <w:szCs w:val="20"/>
          <w:lang w:val="en-US"/>
        </w:rPr>
        <w:t xml:space="preserve"> that Southern Palestine </w:t>
      </w:r>
      <w:r w:rsidR="00946553" w:rsidRPr="0059317C">
        <w:rPr>
          <w:rFonts w:eastAsiaTheme="minorEastAsia"/>
          <w:szCs w:val="20"/>
          <w:lang w:val="en-US"/>
        </w:rPr>
        <w:lastRenderedPageBreak/>
        <w:t xml:space="preserve">had the closest relationship with Tell el-Dab`a of any region in </w:t>
      </w:r>
      <w:r w:rsidR="0010721D" w:rsidRPr="0059317C">
        <w:rPr>
          <w:rFonts w:eastAsiaTheme="minorEastAsia"/>
          <w:szCs w:val="20"/>
          <w:lang w:val="en-US"/>
        </w:rPr>
        <w:t xml:space="preserve">Syria-Palestine </w:t>
      </w:r>
      <w:r w:rsidR="00B33899" w:rsidRPr="0059317C">
        <w:rPr>
          <w:rFonts w:eastAsiaTheme="minorEastAsia"/>
          <w:szCs w:val="20"/>
          <w:lang w:val="en-US"/>
        </w:rPr>
        <w:t xml:space="preserve">beginning in later MB IIA and continuing </w:t>
      </w:r>
      <w:r w:rsidR="0010721D" w:rsidRPr="0059317C">
        <w:rPr>
          <w:rFonts w:eastAsiaTheme="minorEastAsia"/>
          <w:szCs w:val="20"/>
          <w:lang w:val="en-US"/>
        </w:rPr>
        <w:t>throughout the MBA</w:t>
      </w:r>
      <w:r w:rsidRPr="0059317C">
        <w:rPr>
          <w:rFonts w:eastAsiaTheme="minorEastAsia"/>
          <w:szCs w:val="20"/>
          <w:lang w:val="en-US"/>
        </w:rPr>
        <w:t>,</w:t>
      </w:r>
      <w:r w:rsidR="00E951D7" w:rsidRPr="0059317C">
        <w:rPr>
          <w:rFonts w:eastAsiaTheme="minorEastAsia"/>
          <w:szCs w:val="20"/>
          <w:lang w:val="en-US"/>
        </w:rPr>
        <w:t xml:space="preserve"> based on the samples made available to me,</w:t>
      </w:r>
      <w:r w:rsidRPr="0059317C">
        <w:rPr>
          <w:rFonts w:eastAsiaTheme="minorEastAsia"/>
          <w:szCs w:val="20"/>
          <w:lang w:val="en-US"/>
        </w:rPr>
        <w:t xml:space="preserve"> I d</w:t>
      </w:r>
      <w:r w:rsidR="0010721D" w:rsidRPr="0059317C">
        <w:rPr>
          <w:rFonts w:eastAsiaTheme="minorEastAsia"/>
          <w:szCs w:val="20"/>
          <w:lang w:val="en-US"/>
        </w:rPr>
        <w:t>o</w:t>
      </w:r>
      <w:r w:rsidRPr="0059317C">
        <w:rPr>
          <w:rFonts w:eastAsiaTheme="minorEastAsia"/>
          <w:szCs w:val="20"/>
          <w:lang w:val="en-US"/>
        </w:rPr>
        <w:t xml:space="preserve"> not rule out </w:t>
      </w:r>
      <w:r w:rsidR="00E951D7" w:rsidRPr="0059317C">
        <w:rPr>
          <w:rFonts w:eastAsiaTheme="minorEastAsia"/>
          <w:szCs w:val="20"/>
          <w:lang w:val="en-US"/>
        </w:rPr>
        <w:t>the possib</w:t>
      </w:r>
      <w:r w:rsidR="0010721D" w:rsidRPr="0059317C">
        <w:rPr>
          <w:rFonts w:eastAsiaTheme="minorEastAsia"/>
          <w:szCs w:val="20"/>
          <w:lang w:val="en-US"/>
        </w:rPr>
        <w:t xml:space="preserve">ility </w:t>
      </w:r>
      <w:r w:rsidR="001F0B52" w:rsidRPr="0059317C">
        <w:rPr>
          <w:rFonts w:eastAsiaTheme="minorEastAsia"/>
          <w:szCs w:val="20"/>
          <w:lang w:val="en-US"/>
        </w:rPr>
        <w:t xml:space="preserve">of a more </w:t>
      </w:r>
      <w:r w:rsidR="004C799D" w:rsidRPr="0059317C">
        <w:rPr>
          <w:rFonts w:eastAsiaTheme="minorEastAsia"/>
          <w:szCs w:val="20"/>
          <w:lang w:val="en-US"/>
        </w:rPr>
        <w:t>active role by sites in</w:t>
      </w:r>
      <w:r w:rsidR="00E951D7" w:rsidRPr="0059317C">
        <w:rPr>
          <w:rFonts w:eastAsiaTheme="minorEastAsia"/>
          <w:szCs w:val="20"/>
          <w:lang w:val="en-US"/>
        </w:rPr>
        <w:t xml:space="preserve"> </w:t>
      </w:r>
      <w:r w:rsidR="0010721D" w:rsidRPr="0059317C">
        <w:rPr>
          <w:rFonts w:eastAsiaTheme="minorEastAsia"/>
          <w:szCs w:val="20"/>
          <w:lang w:val="en-US"/>
        </w:rPr>
        <w:t>the northern Levant</w:t>
      </w:r>
      <w:r w:rsidR="004C799D" w:rsidRPr="0059317C">
        <w:rPr>
          <w:rFonts w:eastAsiaTheme="minorEastAsia"/>
          <w:szCs w:val="20"/>
          <w:lang w:val="en-US"/>
        </w:rPr>
        <w:t xml:space="preserve">, especially Byblos, </w:t>
      </w:r>
      <w:r w:rsidR="00DA0777">
        <w:rPr>
          <w:rFonts w:eastAsiaTheme="minorEastAsia"/>
          <w:szCs w:val="20"/>
          <w:lang w:val="en-US"/>
        </w:rPr>
        <w:t xml:space="preserve">with Tell el-Dab`a </w:t>
      </w:r>
      <w:r w:rsidR="004C799D" w:rsidRPr="0059317C">
        <w:rPr>
          <w:rFonts w:eastAsiaTheme="minorEastAsia"/>
          <w:szCs w:val="20"/>
          <w:lang w:val="en-US"/>
        </w:rPr>
        <w:t xml:space="preserve">in late EB IV and early MB IIA (see above).  </w:t>
      </w:r>
      <w:r w:rsidR="00C250AE" w:rsidRPr="0059317C">
        <w:rPr>
          <w:rFonts w:eastAsiaTheme="minorEastAsia"/>
          <w:szCs w:val="20"/>
          <w:lang w:val="en-US"/>
        </w:rPr>
        <w:t>I</w:t>
      </w:r>
      <w:r w:rsidR="004C799D" w:rsidRPr="0059317C">
        <w:rPr>
          <w:rFonts w:eastAsiaTheme="minorEastAsia"/>
          <w:szCs w:val="20"/>
          <w:lang w:val="en-US"/>
        </w:rPr>
        <w:t xml:space="preserve"> can even envision a further modification of the two-</w:t>
      </w:r>
      <w:r w:rsidR="00515E39">
        <w:rPr>
          <w:rFonts w:eastAsiaTheme="minorEastAsia"/>
          <w:szCs w:val="20"/>
          <w:lang w:val="en-US"/>
        </w:rPr>
        <w:t>stage</w:t>
      </w:r>
      <w:r w:rsidR="004C799D" w:rsidRPr="0059317C">
        <w:rPr>
          <w:rFonts w:eastAsiaTheme="minorEastAsia"/>
          <w:szCs w:val="20"/>
          <w:lang w:val="en-US"/>
        </w:rPr>
        <w:t xml:space="preserve"> hypothesis in which ships of </w:t>
      </w:r>
      <w:r w:rsidR="00012F72" w:rsidRPr="0059317C">
        <w:rPr>
          <w:rFonts w:eastAsiaTheme="minorEastAsia"/>
          <w:szCs w:val="20"/>
          <w:lang w:val="en-US"/>
        </w:rPr>
        <w:t xml:space="preserve">Canaanite </w:t>
      </w:r>
      <w:r w:rsidR="004C799D" w:rsidRPr="0059317C">
        <w:rPr>
          <w:rFonts w:eastAsiaTheme="minorEastAsia"/>
          <w:szCs w:val="20"/>
          <w:lang w:val="en-US"/>
        </w:rPr>
        <w:t>settlers from Byblos</w:t>
      </w:r>
      <w:r w:rsidR="00DA0777">
        <w:rPr>
          <w:rFonts w:eastAsiaTheme="minorEastAsia"/>
          <w:szCs w:val="20"/>
          <w:lang w:val="en-US"/>
        </w:rPr>
        <w:t>, in addition to those from Southern Palestine,</w:t>
      </w:r>
      <w:r w:rsidR="004C799D" w:rsidRPr="0059317C">
        <w:rPr>
          <w:rFonts w:eastAsiaTheme="minorEastAsia"/>
          <w:szCs w:val="20"/>
          <w:lang w:val="en-US"/>
        </w:rPr>
        <w:t xml:space="preserve"> made their way by ship to the Nile Delta, much like Phoenicians </w:t>
      </w:r>
      <w:r w:rsidR="002F365A" w:rsidRPr="0059317C">
        <w:rPr>
          <w:rFonts w:eastAsiaTheme="minorEastAsia"/>
          <w:szCs w:val="20"/>
          <w:lang w:val="en-US"/>
        </w:rPr>
        <w:t>were said to have done by later classical writers when they fled</w:t>
      </w:r>
      <w:r w:rsidR="00595AAB" w:rsidRPr="0059317C">
        <w:rPr>
          <w:rFonts w:eastAsiaTheme="minorEastAsia"/>
          <w:szCs w:val="20"/>
          <w:lang w:val="en-US"/>
        </w:rPr>
        <w:t xml:space="preserve"> </w:t>
      </w:r>
      <w:r w:rsidR="004C799D" w:rsidRPr="0059317C">
        <w:rPr>
          <w:rFonts w:eastAsiaTheme="minorEastAsia"/>
          <w:szCs w:val="20"/>
          <w:lang w:val="en-US"/>
        </w:rPr>
        <w:t>from Tyre</w:t>
      </w:r>
      <w:r w:rsidR="002F365A" w:rsidRPr="0059317C">
        <w:rPr>
          <w:rFonts w:eastAsiaTheme="minorEastAsia"/>
          <w:szCs w:val="20"/>
          <w:lang w:val="en-US"/>
        </w:rPr>
        <w:t xml:space="preserve"> by ship to found the colony of </w:t>
      </w:r>
      <w:r w:rsidR="00050FD1" w:rsidRPr="0059317C">
        <w:rPr>
          <w:rFonts w:eastAsiaTheme="minorEastAsia"/>
          <w:szCs w:val="20"/>
          <w:lang w:val="en-US"/>
        </w:rPr>
        <w:t>Carthage</w:t>
      </w:r>
      <w:r w:rsidR="002F365A" w:rsidRPr="0059317C">
        <w:rPr>
          <w:rFonts w:eastAsiaTheme="minorEastAsia"/>
          <w:szCs w:val="20"/>
          <w:lang w:val="en-US"/>
        </w:rPr>
        <w:t xml:space="preserve"> some 1000 years later.</w:t>
      </w:r>
    </w:p>
    <w:p w14:paraId="4478C1AB" w14:textId="77777777" w:rsidR="00C73221" w:rsidRPr="0059317C" w:rsidRDefault="002F365A" w:rsidP="005125F6">
      <w:pPr>
        <w:widowControl w:val="0"/>
        <w:autoSpaceDE w:val="0"/>
        <w:autoSpaceDN w:val="0"/>
        <w:adjustRightInd w:val="0"/>
        <w:spacing w:after="0" w:line="240" w:lineRule="auto"/>
        <w:rPr>
          <w:rFonts w:eastAsiaTheme="minorEastAsia"/>
          <w:szCs w:val="20"/>
          <w:lang w:val="en-US"/>
        </w:rPr>
      </w:pPr>
      <w:r w:rsidRPr="0059317C">
        <w:rPr>
          <w:rFonts w:eastAsiaTheme="minorEastAsia"/>
          <w:szCs w:val="20"/>
          <w:lang w:val="en-US"/>
        </w:rPr>
        <w:t xml:space="preserve">  </w:t>
      </w:r>
    </w:p>
    <w:p w14:paraId="67AA87F9" w14:textId="076325EE" w:rsidR="00E5764C" w:rsidRPr="0059317C" w:rsidRDefault="005125F6" w:rsidP="005125F6">
      <w:pPr>
        <w:widowControl w:val="0"/>
        <w:autoSpaceDE w:val="0"/>
        <w:autoSpaceDN w:val="0"/>
        <w:adjustRightInd w:val="0"/>
        <w:spacing w:after="0" w:line="240" w:lineRule="auto"/>
        <w:rPr>
          <w:rFonts w:eastAsiaTheme="minorEastAsia"/>
          <w:szCs w:val="20"/>
          <w:lang w:val="en-US"/>
        </w:rPr>
      </w:pPr>
      <w:r w:rsidRPr="0059317C">
        <w:rPr>
          <w:rFonts w:eastAsiaTheme="minorEastAsia"/>
          <w:szCs w:val="20"/>
          <w:lang w:val="en-US"/>
        </w:rPr>
        <w:t xml:space="preserve">Sadly, Dr. Stager died in 2017.  Our follow-up testing of the 50 pottery sherds from Ashkelon had already been put on a back-burner by the Ashkelon project, as </w:t>
      </w:r>
      <w:r w:rsidR="00C52D64">
        <w:rPr>
          <w:rFonts w:eastAsiaTheme="minorEastAsia"/>
          <w:szCs w:val="20"/>
          <w:lang w:val="en-US"/>
        </w:rPr>
        <w:t xml:space="preserve">Goren’s </w:t>
      </w:r>
      <w:r w:rsidR="009502C0">
        <w:rPr>
          <w:rFonts w:eastAsiaTheme="minorEastAsia"/>
          <w:szCs w:val="20"/>
          <w:lang w:val="en-US"/>
        </w:rPr>
        <w:t>petrographic results</w:t>
      </w:r>
      <w:r w:rsidRPr="0059317C">
        <w:rPr>
          <w:rFonts w:eastAsiaTheme="minorEastAsia"/>
          <w:szCs w:val="20"/>
          <w:lang w:val="en-US"/>
        </w:rPr>
        <w:t xml:space="preserve"> came to play the principal role in establishing the foreign relations of the site.  The recent publication of the Middle Bronze Age volume</w:t>
      </w:r>
      <w:r w:rsidR="00582B62" w:rsidRPr="0059317C">
        <w:rPr>
          <w:rStyle w:val="FootnoteReference"/>
          <w:rFonts w:eastAsiaTheme="minorEastAsia"/>
          <w:szCs w:val="20"/>
          <w:lang w:val="en-US"/>
        </w:rPr>
        <w:footnoteReference w:id="35"/>
      </w:r>
      <w:r w:rsidRPr="0059317C">
        <w:rPr>
          <w:rFonts w:eastAsiaTheme="minorEastAsia"/>
          <w:szCs w:val="20"/>
          <w:lang w:val="en-US"/>
        </w:rPr>
        <w:t xml:space="preserve"> does</w:t>
      </w:r>
      <w:r w:rsidR="004D5CA9" w:rsidRPr="0059317C">
        <w:rPr>
          <w:rFonts w:eastAsiaTheme="minorEastAsia"/>
          <w:szCs w:val="20"/>
          <w:lang w:val="en-US"/>
        </w:rPr>
        <w:t xml:space="preserve"> </w:t>
      </w:r>
      <w:r w:rsidRPr="0059317C">
        <w:rPr>
          <w:rFonts w:eastAsiaTheme="minorEastAsia"/>
          <w:szCs w:val="20"/>
          <w:lang w:val="en-US"/>
        </w:rPr>
        <w:t>n</w:t>
      </w:r>
      <w:r w:rsidR="004D5CA9" w:rsidRPr="0059317C">
        <w:rPr>
          <w:rFonts w:eastAsiaTheme="minorEastAsia"/>
          <w:szCs w:val="20"/>
          <w:lang w:val="en-US"/>
        </w:rPr>
        <w:t>o</w:t>
      </w:r>
      <w:r w:rsidRPr="0059317C">
        <w:rPr>
          <w:rFonts w:eastAsiaTheme="minorEastAsia"/>
          <w:szCs w:val="20"/>
          <w:lang w:val="en-US"/>
        </w:rPr>
        <w:t xml:space="preserve">t mention the NAA results for either </w:t>
      </w:r>
      <w:r w:rsidR="004D3DAD" w:rsidRPr="0059317C">
        <w:rPr>
          <w:rFonts w:eastAsiaTheme="minorEastAsia"/>
          <w:szCs w:val="20"/>
          <w:lang w:val="de-DE"/>
        </w:rPr>
        <w:t>Tell el-</w:t>
      </w:r>
      <w:r w:rsidRPr="0059317C">
        <w:rPr>
          <w:rFonts w:eastAsiaTheme="minorEastAsia"/>
          <w:szCs w:val="20"/>
          <w:lang w:val="en-US"/>
        </w:rPr>
        <w:t xml:space="preserve">Dab`a or Ashkelon or even cite this NAA volume. </w:t>
      </w:r>
      <w:r w:rsidR="003363AC">
        <w:rPr>
          <w:rFonts w:eastAsiaTheme="minorEastAsia"/>
          <w:szCs w:val="20"/>
          <w:lang w:val="en-US"/>
        </w:rPr>
        <w:t xml:space="preserve"> </w:t>
      </w:r>
      <w:r w:rsidR="00582B62" w:rsidRPr="0059317C">
        <w:rPr>
          <w:rFonts w:eastAsiaTheme="minorEastAsia"/>
          <w:szCs w:val="20"/>
          <w:lang w:val="en-US"/>
        </w:rPr>
        <w:t>Yet,</w:t>
      </w:r>
      <w:r w:rsidR="000C6227" w:rsidRPr="0059317C">
        <w:rPr>
          <w:rFonts w:eastAsiaTheme="minorEastAsia"/>
          <w:szCs w:val="20"/>
          <w:lang w:val="en-US"/>
        </w:rPr>
        <w:t xml:space="preserve"> t</w:t>
      </w:r>
      <w:r w:rsidR="005542C2" w:rsidRPr="0059317C">
        <w:rPr>
          <w:rFonts w:eastAsiaTheme="minorEastAsia"/>
          <w:szCs w:val="20"/>
          <w:lang w:val="en-US"/>
        </w:rPr>
        <w:t>hroughout this volume—whether one examines the stratigraphy, Levantine pottery types</w:t>
      </w:r>
      <w:r w:rsidR="005870B4" w:rsidRPr="0059317C">
        <w:rPr>
          <w:rFonts w:eastAsiaTheme="minorEastAsia"/>
          <w:szCs w:val="20"/>
          <w:lang w:val="en-US"/>
        </w:rPr>
        <w:t xml:space="preserve"> and technology</w:t>
      </w:r>
      <w:r w:rsidR="005542C2" w:rsidRPr="0059317C">
        <w:rPr>
          <w:rFonts w:eastAsiaTheme="minorEastAsia"/>
          <w:szCs w:val="20"/>
          <w:lang w:val="en-US"/>
        </w:rPr>
        <w:t xml:space="preserve">, Egyptian imported pottery and seals, </w:t>
      </w:r>
      <w:r w:rsidR="005870B4" w:rsidRPr="0059317C">
        <w:rPr>
          <w:rFonts w:eastAsiaTheme="minorEastAsia"/>
          <w:szCs w:val="20"/>
          <w:lang w:val="en-US"/>
        </w:rPr>
        <w:t xml:space="preserve">foreign connections, </w:t>
      </w:r>
      <w:r w:rsidR="005542C2" w:rsidRPr="0059317C">
        <w:rPr>
          <w:rFonts w:eastAsiaTheme="minorEastAsia"/>
          <w:szCs w:val="20"/>
          <w:lang w:val="en-US"/>
        </w:rPr>
        <w:t xml:space="preserve">burial customs, etc.—the correspondence </w:t>
      </w:r>
      <w:r w:rsidR="005E1089" w:rsidRPr="0059317C">
        <w:rPr>
          <w:rFonts w:eastAsiaTheme="minorEastAsia"/>
          <w:szCs w:val="20"/>
          <w:lang w:val="en-US"/>
        </w:rPr>
        <w:t xml:space="preserve">between the two sites </w:t>
      </w:r>
      <w:r w:rsidR="005542C2" w:rsidRPr="0059317C">
        <w:rPr>
          <w:rFonts w:eastAsiaTheme="minorEastAsia"/>
          <w:szCs w:val="20"/>
          <w:lang w:val="en-US"/>
        </w:rPr>
        <w:t>is remarkably similar.</w:t>
      </w:r>
      <w:r w:rsidR="005E1089" w:rsidRPr="0059317C">
        <w:rPr>
          <w:rFonts w:eastAsiaTheme="minorEastAsia"/>
          <w:szCs w:val="20"/>
          <w:lang w:val="en-US"/>
        </w:rPr>
        <w:t xml:space="preserve">  </w:t>
      </w:r>
      <w:r w:rsidR="00B0502D" w:rsidRPr="0059317C">
        <w:rPr>
          <w:rFonts w:eastAsiaTheme="minorEastAsia"/>
          <w:szCs w:val="20"/>
          <w:lang w:val="en-US"/>
        </w:rPr>
        <w:t>This can hardly be an accident, and is best explained, in my opinion, by the two-</w:t>
      </w:r>
      <w:r w:rsidR="00FA7DFD">
        <w:rPr>
          <w:rFonts w:eastAsiaTheme="minorEastAsia"/>
          <w:szCs w:val="20"/>
          <w:lang w:val="en-US"/>
        </w:rPr>
        <w:t>stage</w:t>
      </w:r>
      <w:r w:rsidR="00B0502D" w:rsidRPr="0059317C">
        <w:rPr>
          <w:rFonts w:eastAsiaTheme="minorEastAsia"/>
          <w:szCs w:val="20"/>
          <w:lang w:val="en-US"/>
        </w:rPr>
        <w:t xml:space="preserve"> working hypothesis.</w:t>
      </w:r>
      <w:r w:rsidR="005542C2" w:rsidRPr="0059317C">
        <w:rPr>
          <w:rFonts w:eastAsiaTheme="minorEastAsia"/>
          <w:szCs w:val="20"/>
          <w:lang w:val="en-US"/>
        </w:rPr>
        <w:t xml:space="preserve">  </w:t>
      </w:r>
    </w:p>
    <w:p w14:paraId="142F46E8" w14:textId="77777777" w:rsidR="00E5764C" w:rsidRPr="0059317C" w:rsidRDefault="00E5764C" w:rsidP="005125F6">
      <w:pPr>
        <w:widowControl w:val="0"/>
        <w:autoSpaceDE w:val="0"/>
        <w:autoSpaceDN w:val="0"/>
        <w:adjustRightInd w:val="0"/>
        <w:spacing w:after="0" w:line="240" w:lineRule="auto"/>
        <w:rPr>
          <w:rFonts w:eastAsiaTheme="minorEastAsia"/>
          <w:szCs w:val="20"/>
          <w:lang w:val="en-US"/>
        </w:rPr>
      </w:pPr>
    </w:p>
    <w:p w14:paraId="74BFF7E3" w14:textId="77777777" w:rsidR="002B27F7" w:rsidRPr="0059317C" w:rsidRDefault="005542C2" w:rsidP="005125F6">
      <w:pPr>
        <w:widowControl w:val="0"/>
        <w:autoSpaceDE w:val="0"/>
        <w:autoSpaceDN w:val="0"/>
        <w:adjustRightInd w:val="0"/>
        <w:spacing w:after="0" w:line="240" w:lineRule="auto"/>
        <w:rPr>
          <w:rFonts w:eastAsiaTheme="minorEastAsia"/>
          <w:szCs w:val="20"/>
          <w:lang w:val="en-US"/>
        </w:rPr>
      </w:pPr>
      <w:r w:rsidRPr="0059317C">
        <w:rPr>
          <w:rFonts w:eastAsiaTheme="minorEastAsia"/>
          <w:szCs w:val="20"/>
          <w:lang w:val="en-US"/>
        </w:rPr>
        <w:t>I</w:t>
      </w:r>
      <w:r w:rsidR="000C6227" w:rsidRPr="0059317C">
        <w:rPr>
          <w:rFonts w:eastAsiaTheme="minorEastAsia"/>
          <w:szCs w:val="20"/>
          <w:lang w:val="en-US"/>
        </w:rPr>
        <w:t xml:space="preserve">f one went looking for another site in the Levant that </w:t>
      </w:r>
      <w:r w:rsidRPr="0059317C">
        <w:rPr>
          <w:rFonts w:eastAsiaTheme="minorEastAsia"/>
          <w:szCs w:val="20"/>
          <w:lang w:val="en-US"/>
        </w:rPr>
        <w:t xml:space="preserve">explained the Hyksos phenomenon at </w:t>
      </w:r>
      <w:r w:rsidR="004D3DAD" w:rsidRPr="0059317C">
        <w:rPr>
          <w:rFonts w:eastAsiaTheme="minorEastAsia"/>
          <w:szCs w:val="20"/>
          <w:lang w:val="de-DE"/>
        </w:rPr>
        <w:t>Tell el-</w:t>
      </w:r>
      <w:r w:rsidRPr="0059317C">
        <w:rPr>
          <w:rFonts w:eastAsiaTheme="minorEastAsia"/>
          <w:szCs w:val="20"/>
          <w:lang w:val="en-US"/>
        </w:rPr>
        <w:t>Dab`a, you would be hard p</w:t>
      </w:r>
      <w:r w:rsidR="00C16F8B" w:rsidRPr="0059317C">
        <w:rPr>
          <w:rFonts w:eastAsiaTheme="minorEastAsia"/>
          <w:szCs w:val="20"/>
          <w:lang w:val="en-US"/>
        </w:rPr>
        <w:t>ressed</w:t>
      </w:r>
      <w:r w:rsidRPr="0059317C">
        <w:rPr>
          <w:rFonts w:eastAsiaTheme="minorEastAsia"/>
          <w:szCs w:val="20"/>
          <w:lang w:val="en-US"/>
        </w:rPr>
        <w:t xml:space="preserve"> </w:t>
      </w:r>
      <w:r w:rsidR="008C3E9E" w:rsidRPr="0059317C">
        <w:rPr>
          <w:rFonts w:eastAsiaTheme="minorEastAsia"/>
          <w:szCs w:val="20"/>
          <w:lang w:val="en-US"/>
        </w:rPr>
        <w:t>to</w:t>
      </w:r>
      <w:r w:rsidR="006E75B8" w:rsidRPr="0059317C">
        <w:rPr>
          <w:rFonts w:eastAsiaTheme="minorEastAsia"/>
          <w:szCs w:val="20"/>
          <w:lang w:val="en-US"/>
        </w:rPr>
        <w:t xml:space="preserve"> </w:t>
      </w:r>
      <w:r w:rsidRPr="0059317C">
        <w:rPr>
          <w:rFonts w:eastAsiaTheme="minorEastAsia"/>
          <w:szCs w:val="20"/>
          <w:lang w:val="en-US"/>
        </w:rPr>
        <w:t>find a better candidate than Ashkelo</w:t>
      </w:r>
      <w:r w:rsidR="00E4251A" w:rsidRPr="0059317C">
        <w:rPr>
          <w:rFonts w:eastAsiaTheme="minorEastAsia"/>
          <w:szCs w:val="20"/>
          <w:lang w:val="en-US"/>
        </w:rPr>
        <w:t xml:space="preserve">n. </w:t>
      </w:r>
      <w:r w:rsidR="005870B4" w:rsidRPr="0059317C">
        <w:rPr>
          <w:rFonts w:eastAsiaTheme="minorEastAsia"/>
          <w:szCs w:val="20"/>
          <w:lang w:val="en-US"/>
        </w:rPr>
        <w:t xml:space="preserve"> </w:t>
      </w:r>
      <w:r w:rsidRPr="0059317C">
        <w:rPr>
          <w:rFonts w:eastAsiaTheme="minorEastAsia"/>
          <w:szCs w:val="20"/>
          <w:lang w:val="en-US"/>
        </w:rPr>
        <w:t xml:space="preserve">The inferences drawn from the NAA analyses, as </w:t>
      </w:r>
      <w:r w:rsidR="005870B4" w:rsidRPr="0059317C">
        <w:rPr>
          <w:rFonts w:eastAsiaTheme="minorEastAsia"/>
          <w:szCs w:val="20"/>
          <w:lang w:val="en-US"/>
        </w:rPr>
        <w:t>summarized and discuss</w:t>
      </w:r>
      <w:r w:rsidRPr="0059317C">
        <w:rPr>
          <w:rFonts w:eastAsiaTheme="minorEastAsia"/>
          <w:szCs w:val="20"/>
          <w:lang w:val="en-US"/>
        </w:rPr>
        <w:t xml:space="preserve">ed in </w:t>
      </w:r>
      <w:r w:rsidR="005870B4" w:rsidRPr="0059317C">
        <w:rPr>
          <w:rFonts w:eastAsiaTheme="minorEastAsia"/>
          <w:szCs w:val="20"/>
          <w:lang w:val="en-US"/>
        </w:rPr>
        <w:t xml:space="preserve">Chapter 6 of this BAR volume, have thus passed another crucial test. </w:t>
      </w:r>
      <w:r w:rsidR="00E5764C" w:rsidRPr="0059317C">
        <w:rPr>
          <w:rFonts w:eastAsiaTheme="minorEastAsia"/>
          <w:szCs w:val="20"/>
          <w:lang w:val="en-US"/>
        </w:rPr>
        <w:t xml:space="preserve"> As I concluded on the last page of the book: </w:t>
      </w:r>
    </w:p>
    <w:p w14:paraId="0395B5DB" w14:textId="77777777" w:rsidR="002B27F7" w:rsidRPr="0059317C" w:rsidRDefault="002B27F7" w:rsidP="005125F6">
      <w:pPr>
        <w:widowControl w:val="0"/>
        <w:autoSpaceDE w:val="0"/>
        <w:autoSpaceDN w:val="0"/>
        <w:adjustRightInd w:val="0"/>
        <w:spacing w:after="0" w:line="240" w:lineRule="auto"/>
        <w:rPr>
          <w:rFonts w:eastAsiaTheme="minorEastAsia"/>
          <w:szCs w:val="20"/>
          <w:lang w:val="en-US"/>
        </w:rPr>
      </w:pPr>
    </w:p>
    <w:p w14:paraId="216E45BD" w14:textId="77777777" w:rsidR="00E27C58" w:rsidRPr="00F34E65" w:rsidRDefault="00E5764C" w:rsidP="0059317C">
      <w:pPr>
        <w:widowControl w:val="0"/>
        <w:autoSpaceDE w:val="0"/>
        <w:autoSpaceDN w:val="0"/>
        <w:adjustRightInd w:val="0"/>
        <w:spacing w:after="0" w:line="240" w:lineRule="auto"/>
        <w:ind w:left="720"/>
        <w:rPr>
          <w:rFonts w:eastAsiaTheme="minorEastAsia"/>
          <w:sz w:val="20"/>
          <w:szCs w:val="20"/>
          <w:lang w:val="en-US"/>
        </w:rPr>
      </w:pPr>
      <w:r w:rsidRPr="00F34E65">
        <w:rPr>
          <w:rFonts w:eastAsiaTheme="minorEastAsia"/>
          <w:sz w:val="20"/>
          <w:szCs w:val="20"/>
          <w:lang w:val="en-US"/>
        </w:rPr>
        <w:t>It is rare that a technical pottery study entails rewriting history, or, at least, archaeological hypotheses.  But according to the Neutron Activation Analysis results presented here, the very earliest contacts of the "Hyksos" at Tell el-Dab`a/</w:t>
      </w:r>
      <w:r w:rsidR="0059317C" w:rsidRPr="00F34E65">
        <w:rPr>
          <w:rFonts w:eastAsiaTheme="minorEastAsia"/>
          <w:sz w:val="20"/>
          <w:szCs w:val="20"/>
          <w:lang w:val="en-US"/>
        </w:rPr>
        <w:t xml:space="preserve"> </w:t>
      </w:r>
    </w:p>
    <w:p w14:paraId="1E761976" w14:textId="77777777" w:rsidR="0059317C" w:rsidRPr="00F34E65" w:rsidRDefault="0059317C" w:rsidP="0059317C">
      <w:pPr>
        <w:widowControl w:val="0"/>
        <w:autoSpaceDE w:val="0"/>
        <w:autoSpaceDN w:val="0"/>
        <w:adjustRightInd w:val="0"/>
        <w:spacing w:after="0" w:line="240" w:lineRule="auto"/>
        <w:ind w:left="720"/>
        <w:rPr>
          <w:rFonts w:eastAsiaTheme="minorEastAsia"/>
          <w:sz w:val="20"/>
          <w:szCs w:val="20"/>
          <w:lang w:val="en-US"/>
        </w:rPr>
      </w:pPr>
      <w:r w:rsidRPr="00F34E65">
        <w:rPr>
          <w:rFonts w:eastAsiaTheme="minorEastAsia"/>
          <w:sz w:val="20"/>
          <w:szCs w:val="20"/>
          <w:lang w:val="en-US"/>
        </w:rPr>
        <w:t xml:space="preserve">Avaris were overwhelmingly with its nearest Levantine "neighbors" in Southern Palestine and not farther north, and this pattern continued throughout the MBA. [N.B.: Although </w:t>
      </w:r>
      <w:r w:rsidRPr="00F34E65">
        <w:rPr>
          <w:rFonts w:eastAsiaTheme="minorEastAsia"/>
          <w:sz w:val="20"/>
          <w:szCs w:val="20"/>
          <w:lang w:val="en-US"/>
        </w:rPr>
        <w:lastRenderedPageBreak/>
        <w:t>contacts between Southern Palestine and Tell el-Dab`a had already begun in later MB IIA, the “Hyksos” period proper belongs to MB IIB-IIC.]</w:t>
      </w:r>
    </w:p>
    <w:p w14:paraId="684B28BF" w14:textId="77777777" w:rsidR="00CF3783" w:rsidRDefault="00CF3783" w:rsidP="00463521">
      <w:pPr>
        <w:widowControl w:val="0"/>
        <w:autoSpaceDE w:val="0"/>
        <w:autoSpaceDN w:val="0"/>
        <w:adjustRightInd w:val="0"/>
        <w:spacing w:after="0" w:line="240" w:lineRule="auto"/>
        <w:rPr>
          <w:rFonts w:eastAsiaTheme="minorEastAsia"/>
          <w:szCs w:val="20"/>
          <w:lang w:val="en-US"/>
        </w:rPr>
      </w:pPr>
      <w:bookmarkStart w:id="42" w:name="_Hlk7606888"/>
    </w:p>
    <w:p w14:paraId="3C4560F7" w14:textId="74C686AE" w:rsidR="00943B19" w:rsidRDefault="0059317C" w:rsidP="00463521">
      <w:pPr>
        <w:widowControl w:val="0"/>
        <w:autoSpaceDE w:val="0"/>
        <w:autoSpaceDN w:val="0"/>
        <w:adjustRightInd w:val="0"/>
        <w:spacing w:after="0" w:line="240" w:lineRule="auto"/>
        <w:rPr>
          <w:rFonts w:eastAsiaTheme="minorEastAsia"/>
          <w:szCs w:val="20"/>
          <w:lang w:val="en-US"/>
        </w:rPr>
      </w:pPr>
      <w:r w:rsidRPr="0059317C">
        <w:rPr>
          <w:rFonts w:eastAsiaTheme="minorEastAsia"/>
          <w:szCs w:val="20"/>
          <w:lang w:val="en-US"/>
        </w:rPr>
        <w:t xml:space="preserve">Some readers may wonder why I have waited so long to present a rebuttal to the highly partisan reviews and comments of Drs. Bietak, Goren, </w:t>
      </w:r>
      <w:r w:rsidR="00B24BAD">
        <w:rPr>
          <w:rFonts w:eastAsiaTheme="minorEastAsia"/>
          <w:szCs w:val="20"/>
          <w:lang w:val="en-US"/>
        </w:rPr>
        <w:t xml:space="preserve">Aston, </w:t>
      </w:r>
      <w:r w:rsidRPr="0059317C">
        <w:rPr>
          <w:rFonts w:eastAsiaTheme="minorEastAsia"/>
          <w:szCs w:val="20"/>
          <w:lang w:val="en-US"/>
        </w:rPr>
        <w:t>and others.  Primarily, I did not feel competent enough in petrography and geology to present a cogent and fair review, and secondarily I was much involved in organic residue analyses at the time.</w:t>
      </w:r>
      <w:r w:rsidR="00A4401E">
        <w:rPr>
          <w:rFonts w:eastAsiaTheme="minorEastAsia"/>
          <w:szCs w:val="20"/>
          <w:lang w:val="en-US"/>
        </w:rPr>
        <w:t xml:space="preserve">  </w:t>
      </w:r>
      <w:r w:rsidR="0095627F">
        <w:rPr>
          <w:rFonts w:eastAsiaTheme="minorEastAsia"/>
          <w:szCs w:val="20"/>
          <w:lang w:val="en-US"/>
        </w:rPr>
        <w:t xml:space="preserve">I was probably too cautious.  </w:t>
      </w:r>
      <w:r w:rsidR="00D84173" w:rsidRPr="00D84173">
        <w:rPr>
          <w:rFonts w:eastAsiaTheme="minorEastAsia"/>
          <w:szCs w:val="20"/>
          <w:lang w:val="en-US"/>
        </w:rPr>
        <w:t>Archaeologists like Dr. Schaub felt that they were too ill-informed on petrography to protest in print</w:t>
      </w:r>
      <w:r w:rsidR="000913EF">
        <w:rPr>
          <w:rFonts w:eastAsiaTheme="minorEastAsia"/>
          <w:szCs w:val="20"/>
          <w:lang w:val="en-US"/>
        </w:rPr>
        <w:t xml:space="preserve"> (personal communications by email on June 17, 18, and 20, 2003, and on June 23, 2004)</w:t>
      </w:r>
      <w:r w:rsidR="00D84173" w:rsidRPr="00D84173">
        <w:rPr>
          <w:rFonts w:eastAsiaTheme="minorEastAsia"/>
          <w:szCs w:val="20"/>
          <w:lang w:val="en-US"/>
        </w:rPr>
        <w:t xml:space="preserve">, although behind the scenes, they and their petrographers had serious doubts.  </w:t>
      </w:r>
      <w:r w:rsidR="00D84173">
        <w:rPr>
          <w:rFonts w:eastAsiaTheme="minorEastAsia"/>
          <w:szCs w:val="20"/>
          <w:lang w:val="en-US"/>
        </w:rPr>
        <w:t>L</w:t>
      </w:r>
      <w:r w:rsidR="00D84173" w:rsidRPr="00463521">
        <w:rPr>
          <w:rFonts w:eastAsiaTheme="minorEastAsia"/>
          <w:szCs w:val="20"/>
          <w:lang w:val="en-US"/>
        </w:rPr>
        <w:t>ack of competency in chemical analysis</w:t>
      </w:r>
      <w:r w:rsidR="00D84173">
        <w:rPr>
          <w:rFonts w:eastAsiaTheme="minorEastAsia"/>
          <w:szCs w:val="20"/>
          <w:lang w:val="en-US"/>
        </w:rPr>
        <w:t>, however,</w:t>
      </w:r>
      <w:r w:rsidR="00D84173" w:rsidRPr="00463521">
        <w:rPr>
          <w:rFonts w:eastAsiaTheme="minorEastAsia"/>
          <w:szCs w:val="20"/>
          <w:lang w:val="en-US"/>
        </w:rPr>
        <w:t xml:space="preserve"> had not stopped Goren, </w:t>
      </w:r>
      <w:r w:rsidR="00EF08ED">
        <w:rPr>
          <w:rFonts w:eastAsiaTheme="minorEastAsia"/>
          <w:szCs w:val="20"/>
          <w:lang w:val="en-US"/>
        </w:rPr>
        <w:t>Aston,</w:t>
      </w:r>
      <w:r w:rsidR="00900747">
        <w:rPr>
          <w:rFonts w:eastAsiaTheme="minorEastAsia"/>
          <w:szCs w:val="20"/>
          <w:lang w:val="en-US"/>
        </w:rPr>
        <w:t xml:space="preserve"> </w:t>
      </w:r>
      <w:r w:rsidR="00D84173" w:rsidRPr="00463521">
        <w:rPr>
          <w:rFonts w:eastAsiaTheme="minorEastAsia"/>
          <w:szCs w:val="20"/>
          <w:lang w:val="en-US"/>
        </w:rPr>
        <w:t>Bietak, and others from assuming that they could critically evaluate the NAA data, its statistical basis, and results</w:t>
      </w:r>
      <w:r w:rsidR="00D84173">
        <w:rPr>
          <w:rFonts w:eastAsiaTheme="minorEastAsia"/>
          <w:szCs w:val="20"/>
          <w:lang w:val="en-US"/>
        </w:rPr>
        <w:t xml:space="preserve">.  </w:t>
      </w:r>
    </w:p>
    <w:p w14:paraId="4CA5BD92" w14:textId="77777777" w:rsidR="00943B19" w:rsidRDefault="00943B19" w:rsidP="0059317C">
      <w:pPr>
        <w:widowControl w:val="0"/>
        <w:autoSpaceDE w:val="0"/>
        <w:autoSpaceDN w:val="0"/>
        <w:adjustRightInd w:val="0"/>
        <w:spacing w:after="0" w:line="240" w:lineRule="auto"/>
        <w:rPr>
          <w:rFonts w:eastAsiaTheme="minorEastAsia"/>
          <w:szCs w:val="20"/>
          <w:lang w:val="en-US"/>
        </w:rPr>
      </w:pPr>
    </w:p>
    <w:p w14:paraId="0D665BB7" w14:textId="77777777" w:rsidR="007E2464" w:rsidRDefault="00BC6160" w:rsidP="0059317C">
      <w:pPr>
        <w:widowControl w:val="0"/>
        <w:autoSpaceDE w:val="0"/>
        <w:autoSpaceDN w:val="0"/>
        <w:adjustRightInd w:val="0"/>
        <w:spacing w:after="0" w:line="240" w:lineRule="auto"/>
        <w:rPr>
          <w:rFonts w:eastAsiaTheme="minorEastAsia"/>
          <w:szCs w:val="20"/>
          <w:lang w:val="en-US"/>
        </w:rPr>
      </w:pPr>
      <w:r>
        <w:rPr>
          <w:rFonts w:eastAsiaTheme="minorEastAsia"/>
          <w:szCs w:val="20"/>
          <w:lang w:val="en-US"/>
        </w:rPr>
        <w:t>An email to Dr. Dapha Ben-Tor</w:t>
      </w:r>
      <w:r w:rsidR="004B03A4">
        <w:rPr>
          <w:rFonts w:eastAsiaTheme="minorEastAsia"/>
          <w:szCs w:val="20"/>
          <w:lang w:val="en-US"/>
        </w:rPr>
        <w:t xml:space="preserve"> in July 1999</w:t>
      </w:r>
      <w:r>
        <w:rPr>
          <w:rFonts w:eastAsiaTheme="minorEastAsia"/>
          <w:szCs w:val="20"/>
          <w:lang w:val="en-US"/>
        </w:rPr>
        <w:t xml:space="preserve"> sums up my feelings at the time</w:t>
      </w:r>
      <w:r w:rsidR="007E2464">
        <w:rPr>
          <w:rFonts w:eastAsiaTheme="minorEastAsia"/>
          <w:szCs w:val="20"/>
          <w:lang w:val="en-US"/>
        </w:rPr>
        <w:t>:</w:t>
      </w:r>
    </w:p>
    <w:p w14:paraId="2AD92E82" w14:textId="77777777" w:rsidR="00E72CC5" w:rsidRPr="00E72CC5" w:rsidRDefault="0059317C" w:rsidP="00E72CC5">
      <w:pPr>
        <w:widowControl w:val="0"/>
        <w:autoSpaceDE w:val="0"/>
        <w:autoSpaceDN w:val="0"/>
        <w:adjustRightInd w:val="0"/>
        <w:spacing w:after="0" w:line="240" w:lineRule="auto"/>
        <w:rPr>
          <w:rFonts w:eastAsiaTheme="minorEastAsia"/>
          <w:szCs w:val="20"/>
          <w:lang w:val="en-US"/>
        </w:rPr>
      </w:pPr>
      <w:r w:rsidRPr="0059317C">
        <w:rPr>
          <w:rFonts w:eastAsiaTheme="minorEastAsia"/>
          <w:szCs w:val="20"/>
          <w:lang w:val="en-US"/>
        </w:rPr>
        <w:t xml:space="preserve"> </w:t>
      </w:r>
    </w:p>
    <w:p w14:paraId="68D9FF73" w14:textId="77777777" w:rsidR="00E72CC5" w:rsidRPr="004B03A4" w:rsidRDefault="0095627F" w:rsidP="004B03A4">
      <w:pPr>
        <w:widowControl w:val="0"/>
        <w:autoSpaceDE w:val="0"/>
        <w:autoSpaceDN w:val="0"/>
        <w:adjustRightInd w:val="0"/>
        <w:spacing w:after="0" w:line="240" w:lineRule="auto"/>
        <w:ind w:left="720"/>
        <w:rPr>
          <w:rFonts w:eastAsiaTheme="minorEastAsia"/>
          <w:sz w:val="20"/>
          <w:szCs w:val="20"/>
          <w:lang w:val="en-US"/>
        </w:rPr>
      </w:pPr>
      <w:r>
        <w:rPr>
          <w:rFonts w:eastAsiaTheme="minorEastAsia"/>
          <w:sz w:val="20"/>
          <w:szCs w:val="20"/>
          <w:lang w:val="en-US"/>
        </w:rPr>
        <w:t>…</w:t>
      </w:r>
      <w:r w:rsidR="00E72CC5" w:rsidRPr="004B03A4">
        <w:rPr>
          <w:rFonts w:eastAsiaTheme="minorEastAsia"/>
          <w:sz w:val="20"/>
          <w:szCs w:val="20"/>
          <w:lang w:val="en-US"/>
        </w:rPr>
        <w:t xml:space="preserve">I should </w:t>
      </w:r>
      <w:r w:rsidR="004B03A4">
        <w:rPr>
          <w:rFonts w:eastAsiaTheme="minorEastAsia"/>
          <w:sz w:val="20"/>
          <w:szCs w:val="20"/>
          <w:lang w:val="en-US"/>
        </w:rPr>
        <w:t xml:space="preserve">have </w:t>
      </w:r>
      <w:r w:rsidR="00E72CC5" w:rsidRPr="004B03A4">
        <w:rPr>
          <w:rFonts w:eastAsiaTheme="minorEastAsia"/>
          <w:sz w:val="20"/>
          <w:szCs w:val="20"/>
          <w:lang w:val="en-US"/>
        </w:rPr>
        <w:t>been more concerned than I was when Bietak tenaciously held to theories or modified them in an unscientific fashion.  His delays in responding to simple requests (e.g., for more precise provenience data) or not doing what he promised (e.g., writing an introduction to the volume) were major frustrations.  His submission of poorly edited articles to Penn and BASOR were alarming.  In short, without going into all the details, I am now embroiled in one of the most baffling and frustrating academic quagmires of my career.  I still don't know what's really happening with my manuscript, and whether it will be published as agreed upon.</w:t>
      </w:r>
    </w:p>
    <w:p w14:paraId="0E29D0E6" w14:textId="77777777" w:rsidR="00E72CC5" w:rsidRPr="004B03A4" w:rsidRDefault="00E72CC5" w:rsidP="004B03A4">
      <w:pPr>
        <w:widowControl w:val="0"/>
        <w:autoSpaceDE w:val="0"/>
        <w:autoSpaceDN w:val="0"/>
        <w:adjustRightInd w:val="0"/>
        <w:spacing w:after="0" w:line="240" w:lineRule="auto"/>
        <w:ind w:left="720"/>
        <w:rPr>
          <w:rFonts w:eastAsiaTheme="minorEastAsia"/>
          <w:sz w:val="20"/>
          <w:szCs w:val="20"/>
          <w:lang w:val="en-US"/>
        </w:rPr>
      </w:pPr>
      <w:r w:rsidRPr="004B03A4">
        <w:rPr>
          <w:rFonts w:eastAsiaTheme="minorEastAsia"/>
          <w:sz w:val="20"/>
          <w:szCs w:val="20"/>
          <w:lang w:val="en-US"/>
        </w:rPr>
        <w:tab/>
      </w:r>
    </w:p>
    <w:p w14:paraId="753FAD2A" w14:textId="77777777" w:rsidR="00E72CC5" w:rsidRPr="004B03A4" w:rsidRDefault="00E72CC5" w:rsidP="004B03A4">
      <w:pPr>
        <w:widowControl w:val="0"/>
        <w:autoSpaceDE w:val="0"/>
        <w:autoSpaceDN w:val="0"/>
        <w:adjustRightInd w:val="0"/>
        <w:spacing w:after="0" w:line="240" w:lineRule="auto"/>
        <w:ind w:left="720"/>
        <w:rPr>
          <w:rFonts w:eastAsiaTheme="minorEastAsia"/>
          <w:sz w:val="20"/>
          <w:szCs w:val="20"/>
          <w:lang w:val="en-US"/>
        </w:rPr>
      </w:pPr>
      <w:r w:rsidRPr="004B03A4">
        <w:rPr>
          <w:rFonts w:eastAsiaTheme="minorEastAsia"/>
          <w:sz w:val="20"/>
          <w:szCs w:val="20"/>
          <w:lang w:val="en-US"/>
        </w:rPr>
        <w:tab/>
        <w:t>So, it looks like I'm the loser in all of this...and it's possible that Yuval Goren had a hand in it, although he says not.  One of Bietak's main points when we met in New York last January with Garman Harbottle was that Yuval gave my MS a bad review.  And yet, Yuval writes to me that he is not qualified to judge the NAA results.  Meantime, he is churning away at producing more petrographic and even chemical results, using inductively coupled plasma spectroscopy, for Bietak, with the eventual plan to publish those results.  Clearly, it's in everyone's interest that my book not be published, because it either challenges cherished convictions (Bietak) or makes other researchers' findings superfluous (Goren).  Much easier to suppress my data and take credit later.</w:t>
      </w:r>
    </w:p>
    <w:p w14:paraId="7408C874" w14:textId="77777777" w:rsidR="00E72CC5" w:rsidRPr="004B03A4" w:rsidRDefault="00E72CC5" w:rsidP="004B03A4">
      <w:pPr>
        <w:widowControl w:val="0"/>
        <w:autoSpaceDE w:val="0"/>
        <w:autoSpaceDN w:val="0"/>
        <w:adjustRightInd w:val="0"/>
        <w:spacing w:after="0" w:line="240" w:lineRule="auto"/>
        <w:ind w:left="720"/>
        <w:rPr>
          <w:rFonts w:eastAsiaTheme="minorEastAsia"/>
          <w:sz w:val="20"/>
          <w:szCs w:val="20"/>
          <w:lang w:val="en-US"/>
        </w:rPr>
      </w:pPr>
      <w:r w:rsidRPr="004B03A4">
        <w:rPr>
          <w:rFonts w:eastAsiaTheme="minorEastAsia"/>
          <w:sz w:val="20"/>
          <w:szCs w:val="20"/>
          <w:lang w:val="en-US"/>
        </w:rPr>
        <w:tab/>
        <w:t xml:space="preserve">As an aside, in the course of collaborating with Yuval on other projects, I have come to have serious reservations about his petrographic results.  As one example, samples from Scorpion I's Tomb U-j at Abydos (EB IB--ca. 3150 BC) have been analyzed by both of us, and we have come up with irreconcilable conclusions.  Yuval and Naomi Porat </w:t>
      </w:r>
      <w:r w:rsidRPr="004B03A4">
        <w:rPr>
          <w:rFonts w:eastAsiaTheme="minorEastAsia"/>
          <w:sz w:val="20"/>
          <w:szCs w:val="20"/>
          <w:lang w:val="en-US"/>
        </w:rPr>
        <w:lastRenderedPageBreak/>
        <w:t xml:space="preserve">have argued that the vast majority of the S-P type jars in the tomb were made of local Abydos clay, yet none of our analyses show any matches with any Egyptian alluvial or marl clay.  In rechecking the same samples that Yuval said were made of local Abydos clay according to their petrography, the NAA analyses clearly showed these to be from the southern Levant.  I have never gotten a satisfactory explanation from Yuval.  </w:t>
      </w:r>
    </w:p>
    <w:p w14:paraId="46A6FEDB" w14:textId="77777777" w:rsidR="00E72CC5" w:rsidRPr="004B03A4" w:rsidRDefault="00E72CC5" w:rsidP="004B03A4">
      <w:pPr>
        <w:widowControl w:val="0"/>
        <w:autoSpaceDE w:val="0"/>
        <w:autoSpaceDN w:val="0"/>
        <w:adjustRightInd w:val="0"/>
        <w:spacing w:after="0" w:line="240" w:lineRule="auto"/>
        <w:ind w:left="720"/>
        <w:rPr>
          <w:rFonts w:eastAsiaTheme="minorEastAsia"/>
          <w:sz w:val="20"/>
          <w:szCs w:val="20"/>
          <w:lang w:val="en-US"/>
        </w:rPr>
      </w:pPr>
      <w:r w:rsidRPr="004B03A4">
        <w:rPr>
          <w:rFonts w:eastAsiaTheme="minorEastAsia"/>
          <w:sz w:val="20"/>
          <w:szCs w:val="20"/>
          <w:lang w:val="en-US"/>
        </w:rPr>
        <w:tab/>
        <w:t>Similarly, he argues that some of the Dab`a MB pottery is made of Motza Central Hill Country clay and comes from Jerusalem; this clay is well-represented in our database, and does not statistically match any of the Dab`a pottery.  The problem with petrography is that it is much more qualitative and does not determine the provenience of the clay per se.  Middle Eastern geology can be much the same, and minerals supposedly determinative of a particular region are widespread.  Rather than applying statistical argumentation, Yuval's approach is more that of apprehending the petrographic "Gestalt," which can arguably relate to any number of clay sources.  How is his work and approach viewed in Israel?</w:t>
      </w:r>
    </w:p>
    <w:p w14:paraId="06CCC6D3" w14:textId="77777777" w:rsidR="00E72CC5" w:rsidRPr="004B03A4" w:rsidRDefault="00E72CC5" w:rsidP="004B03A4">
      <w:pPr>
        <w:widowControl w:val="0"/>
        <w:autoSpaceDE w:val="0"/>
        <w:autoSpaceDN w:val="0"/>
        <w:adjustRightInd w:val="0"/>
        <w:spacing w:after="0" w:line="240" w:lineRule="auto"/>
        <w:ind w:left="720"/>
        <w:rPr>
          <w:rFonts w:eastAsiaTheme="minorEastAsia"/>
          <w:sz w:val="20"/>
          <w:szCs w:val="20"/>
          <w:lang w:val="en-US"/>
        </w:rPr>
      </w:pPr>
      <w:r w:rsidRPr="004B03A4">
        <w:rPr>
          <w:rFonts w:eastAsiaTheme="minorEastAsia"/>
          <w:sz w:val="20"/>
          <w:szCs w:val="20"/>
          <w:lang w:val="en-US"/>
        </w:rPr>
        <w:tab/>
        <w:t>I took a look at Bietak's web-site for the Chronology Project.  Not surprisingly, my research lab in MASCA is still listed as being a participant, although I never consented to working any further with Bietak after I turned in my MS 2 years ago.  Peter Kuniholm was also written into the project without his concurrence.  Like you, I was aghast at whom he listed as being responsible for Israel/Palestine.  He evidently feels most comfortable in "controlling" young scholars who have few other options.  He lists himself and Irmgard Hein as in charge, but neither are archaeologists of the region.  One of the things that told me that his chronology project was ill-conceived is that he adopted David Aston's view that Beth Shan Levels IX-VII should be dated on the basis of the scarab evidence (see Aston's review of F. James' and my book in JEA).  Bietak presented this throw-back to the days of Rowe in a detailed discussion of Israel/Palestine included in his Chronology proposal.  I won't go into his unscientific approach to radiocarbon dating...</w:t>
      </w:r>
    </w:p>
    <w:p w14:paraId="4EA8D403" w14:textId="77777777" w:rsidR="00E72CC5" w:rsidRPr="004B03A4" w:rsidRDefault="00E72CC5" w:rsidP="004B03A4">
      <w:pPr>
        <w:widowControl w:val="0"/>
        <w:autoSpaceDE w:val="0"/>
        <w:autoSpaceDN w:val="0"/>
        <w:adjustRightInd w:val="0"/>
        <w:spacing w:after="0" w:line="240" w:lineRule="auto"/>
        <w:ind w:left="720"/>
        <w:rPr>
          <w:rFonts w:eastAsiaTheme="minorEastAsia"/>
          <w:sz w:val="20"/>
          <w:szCs w:val="20"/>
          <w:lang w:val="en-US"/>
        </w:rPr>
      </w:pPr>
      <w:r w:rsidRPr="004B03A4">
        <w:rPr>
          <w:rFonts w:eastAsiaTheme="minorEastAsia"/>
          <w:sz w:val="20"/>
          <w:szCs w:val="20"/>
          <w:lang w:val="en-US"/>
        </w:rPr>
        <w:tab/>
        <w:t>I've gone on at some length, since Bietak will try to paint a different picture.  But, the facts are that he (and the Austrian Academy) are essentially stifling sound scholarship and wasting a considerable amount of time and money.</w:t>
      </w:r>
    </w:p>
    <w:p w14:paraId="7B540CA6" w14:textId="77777777" w:rsidR="00E72CC5" w:rsidRPr="004B03A4" w:rsidRDefault="00E72CC5" w:rsidP="004B03A4">
      <w:pPr>
        <w:widowControl w:val="0"/>
        <w:autoSpaceDE w:val="0"/>
        <w:autoSpaceDN w:val="0"/>
        <w:adjustRightInd w:val="0"/>
        <w:spacing w:after="0" w:line="240" w:lineRule="auto"/>
        <w:ind w:left="720"/>
        <w:rPr>
          <w:rFonts w:eastAsiaTheme="minorEastAsia"/>
          <w:sz w:val="20"/>
          <w:szCs w:val="20"/>
          <w:lang w:val="en-US"/>
        </w:rPr>
      </w:pPr>
      <w:r w:rsidRPr="004B03A4">
        <w:rPr>
          <w:rFonts w:eastAsiaTheme="minorEastAsia"/>
          <w:sz w:val="20"/>
          <w:szCs w:val="20"/>
          <w:lang w:val="en-US"/>
        </w:rPr>
        <w:tab/>
        <w:t>It would appear in the long run that the basic thesis of my NAA study will hold up.  When I first argued (some 10 years ago) that most of the very MB IIA pottery at Dab`a was coming from the "Gaza region," I was told by eminent authorities that this was impossible--there were few if any sites of this period in the region.  I said that it was possible that a major site lay hidden and would be eventually discovered--in particular, I suggested Ashkelon.  When Larry Stager began uncovering a huge MB IIA site here, we immediately began analyzing amphoras and other S-P types, and they</w:t>
      </w:r>
      <w:r w:rsidR="00EC1213">
        <w:rPr>
          <w:rFonts w:eastAsiaTheme="minorEastAsia"/>
          <w:sz w:val="20"/>
          <w:szCs w:val="20"/>
          <w:lang w:val="en-US"/>
        </w:rPr>
        <w:t xml:space="preserve"> were</w:t>
      </w:r>
      <w:r w:rsidRPr="004B03A4">
        <w:rPr>
          <w:rFonts w:eastAsiaTheme="minorEastAsia"/>
          <w:sz w:val="20"/>
          <w:szCs w:val="20"/>
          <w:lang w:val="en-US"/>
        </w:rPr>
        <w:t xml:space="preserve"> so close chemically to the large Dab`a group that had already been analyzed and assigned to this region that it was astounding.  Moreover, I actually ran a large group of "Syrian" types (as defined by Bietak) and 90% belonged to the Gaza region (the other 10% were of uncertain provenience).  These two follow-up studies confirmed the initial conclusions that I had arrived at; one can hardly imagine better examples of deductive testing which bear out a hypothesis.  </w:t>
      </w:r>
    </w:p>
    <w:p w14:paraId="69A37F83" w14:textId="77777777" w:rsidR="00360D8C" w:rsidRPr="004B03A4" w:rsidRDefault="00E72CC5" w:rsidP="004B03A4">
      <w:pPr>
        <w:widowControl w:val="0"/>
        <w:autoSpaceDE w:val="0"/>
        <w:autoSpaceDN w:val="0"/>
        <w:adjustRightInd w:val="0"/>
        <w:spacing w:after="0" w:line="240" w:lineRule="auto"/>
        <w:ind w:left="720"/>
        <w:rPr>
          <w:rFonts w:eastAsiaTheme="minorEastAsia"/>
          <w:sz w:val="20"/>
          <w:szCs w:val="20"/>
          <w:lang w:val="en-US"/>
        </w:rPr>
      </w:pPr>
      <w:r w:rsidRPr="004B03A4">
        <w:rPr>
          <w:rFonts w:eastAsiaTheme="minorEastAsia"/>
          <w:sz w:val="20"/>
          <w:szCs w:val="20"/>
          <w:lang w:val="en-US"/>
        </w:rPr>
        <w:lastRenderedPageBreak/>
        <w:tab/>
        <w:t xml:space="preserve">It is indeed encouraging to hear that your scarab studies arrive at similar conclusions, and provide further confirmatory evidence. </w:t>
      </w:r>
      <w:r w:rsidR="0095627F">
        <w:rPr>
          <w:rFonts w:eastAsiaTheme="minorEastAsia"/>
          <w:sz w:val="20"/>
          <w:szCs w:val="20"/>
          <w:lang w:val="en-US"/>
        </w:rPr>
        <w:t>..</w:t>
      </w:r>
      <w:r w:rsidRPr="004B03A4">
        <w:rPr>
          <w:rFonts w:eastAsiaTheme="minorEastAsia"/>
          <w:sz w:val="20"/>
          <w:szCs w:val="20"/>
          <w:lang w:val="en-US"/>
        </w:rPr>
        <w:t xml:space="preserve"> </w:t>
      </w:r>
    </w:p>
    <w:p w14:paraId="405FA566" w14:textId="77777777" w:rsidR="00360D8C" w:rsidRDefault="00360D8C" w:rsidP="0059317C">
      <w:pPr>
        <w:widowControl w:val="0"/>
        <w:autoSpaceDE w:val="0"/>
        <w:autoSpaceDN w:val="0"/>
        <w:adjustRightInd w:val="0"/>
        <w:spacing w:after="0" w:line="240" w:lineRule="auto"/>
        <w:rPr>
          <w:rFonts w:eastAsiaTheme="minorEastAsia"/>
          <w:szCs w:val="20"/>
          <w:lang w:val="en-US"/>
        </w:rPr>
      </w:pPr>
    </w:p>
    <w:p w14:paraId="3059079B" w14:textId="5C746501" w:rsidR="00F67E85" w:rsidRDefault="0095627F" w:rsidP="0059317C">
      <w:pPr>
        <w:widowControl w:val="0"/>
        <w:autoSpaceDE w:val="0"/>
        <w:autoSpaceDN w:val="0"/>
        <w:adjustRightInd w:val="0"/>
        <w:spacing w:after="0" w:line="240" w:lineRule="auto"/>
        <w:rPr>
          <w:rFonts w:eastAsiaTheme="minorEastAsia"/>
          <w:szCs w:val="20"/>
          <w:lang w:val="en-US"/>
        </w:rPr>
      </w:pPr>
      <w:bookmarkStart w:id="43" w:name="_Hlk8796180"/>
      <w:bookmarkStart w:id="44" w:name="_Hlk8800029"/>
      <w:r w:rsidRPr="0095627F">
        <w:rPr>
          <w:rFonts w:eastAsiaTheme="minorEastAsia"/>
          <w:szCs w:val="20"/>
          <w:lang w:val="en-US"/>
        </w:rPr>
        <w:t xml:space="preserve">I hoped over time that the </w:t>
      </w:r>
      <w:r w:rsidR="008B35FB">
        <w:rPr>
          <w:rFonts w:eastAsiaTheme="minorEastAsia"/>
          <w:szCs w:val="20"/>
          <w:lang w:val="en-US"/>
        </w:rPr>
        <w:t>obvious</w:t>
      </w:r>
      <w:r w:rsidR="008B35FB" w:rsidRPr="0095627F">
        <w:rPr>
          <w:rFonts w:eastAsiaTheme="minorEastAsia"/>
          <w:szCs w:val="20"/>
          <w:lang w:val="en-US"/>
        </w:rPr>
        <w:t xml:space="preserve"> </w:t>
      </w:r>
      <w:r w:rsidRPr="0095627F">
        <w:rPr>
          <w:rFonts w:eastAsiaTheme="minorEastAsia"/>
          <w:szCs w:val="20"/>
          <w:lang w:val="en-US"/>
        </w:rPr>
        <w:t>disparit</w:t>
      </w:r>
      <w:r w:rsidR="008B35FB">
        <w:rPr>
          <w:rFonts w:eastAsiaTheme="minorEastAsia"/>
          <w:szCs w:val="20"/>
          <w:lang w:val="en-US"/>
        </w:rPr>
        <w:t>ies</w:t>
      </w:r>
      <w:r w:rsidRPr="0095627F">
        <w:rPr>
          <w:rFonts w:eastAsiaTheme="minorEastAsia"/>
          <w:szCs w:val="20"/>
          <w:lang w:val="en-US"/>
        </w:rPr>
        <w:t xml:space="preserve"> between the NAA and petrographic results would be resolved</w:t>
      </w:r>
      <w:r w:rsidR="005323ED">
        <w:rPr>
          <w:rFonts w:eastAsiaTheme="minorEastAsia"/>
          <w:szCs w:val="20"/>
          <w:lang w:val="en-US"/>
        </w:rPr>
        <w:t>,</w:t>
      </w:r>
      <w:r w:rsidRPr="0095627F">
        <w:rPr>
          <w:rFonts w:eastAsiaTheme="minorEastAsia"/>
          <w:szCs w:val="20"/>
          <w:lang w:val="en-US"/>
        </w:rPr>
        <w:t xml:space="preserve"> and </w:t>
      </w:r>
      <w:r w:rsidR="005323ED">
        <w:rPr>
          <w:rFonts w:eastAsiaTheme="minorEastAsia"/>
          <w:szCs w:val="20"/>
          <w:lang w:val="en-US"/>
        </w:rPr>
        <w:t xml:space="preserve">that it would be concluded </w:t>
      </w:r>
      <w:r w:rsidRPr="0095627F">
        <w:rPr>
          <w:rFonts w:eastAsiaTheme="minorEastAsia"/>
          <w:szCs w:val="20"/>
          <w:lang w:val="en-US"/>
        </w:rPr>
        <w:t xml:space="preserve">that the NAA results for a Southern Palestine provenance for most of the </w:t>
      </w:r>
      <w:r w:rsidR="00C9122A">
        <w:rPr>
          <w:rFonts w:eastAsiaTheme="minorEastAsia"/>
          <w:szCs w:val="20"/>
          <w:lang w:val="en-US"/>
        </w:rPr>
        <w:t xml:space="preserve">imported pottery </w:t>
      </w:r>
      <w:r w:rsidR="00403EDF">
        <w:rPr>
          <w:rFonts w:eastAsiaTheme="minorEastAsia"/>
          <w:szCs w:val="20"/>
          <w:lang w:val="en-US"/>
        </w:rPr>
        <w:t>at Tell el-Dab`a</w:t>
      </w:r>
      <w:r w:rsidRPr="0095627F">
        <w:rPr>
          <w:rFonts w:eastAsiaTheme="minorEastAsia"/>
          <w:szCs w:val="20"/>
          <w:lang w:val="en-US"/>
        </w:rPr>
        <w:t xml:space="preserve"> was correct (omitting the earliest phase(s) of the  MB IIA which was admittedly not well represented in the NAA database, but showed some evidence for northern Levantine connections to Tell el-Dab`a).  I </w:t>
      </w:r>
      <w:r w:rsidR="003363AC">
        <w:rPr>
          <w:rFonts w:eastAsiaTheme="minorEastAsia"/>
          <w:szCs w:val="20"/>
          <w:lang w:val="en-US"/>
        </w:rPr>
        <w:t xml:space="preserve">also </w:t>
      </w:r>
      <w:r w:rsidRPr="0095627F">
        <w:rPr>
          <w:rFonts w:eastAsiaTheme="minorEastAsia"/>
          <w:szCs w:val="20"/>
          <w:lang w:val="en-US"/>
        </w:rPr>
        <w:t xml:space="preserve">hoped that other petrographers would step forward and point out the inadequacies of Goren’s petrographic methodology, or that </w:t>
      </w:r>
      <w:r w:rsidR="00327634" w:rsidRPr="00327634">
        <w:rPr>
          <w:rFonts w:eastAsiaTheme="minorEastAsia"/>
          <w:szCs w:val="20"/>
          <w:lang w:val="en-US"/>
        </w:rPr>
        <w:t xml:space="preserve">some archaeologists or textual scholars might take issue with the petrographic results.  </w:t>
      </w:r>
    </w:p>
    <w:bookmarkEnd w:id="43"/>
    <w:p w14:paraId="62859F12" w14:textId="77777777" w:rsidR="00F67E85" w:rsidRDefault="00F67E85" w:rsidP="0059317C">
      <w:pPr>
        <w:widowControl w:val="0"/>
        <w:autoSpaceDE w:val="0"/>
        <w:autoSpaceDN w:val="0"/>
        <w:adjustRightInd w:val="0"/>
        <w:spacing w:after="0" w:line="240" w:lineRule="auto"/>
        <w:rPr>
          <w:rFonts w:eastAsiaTheme="minorEastAsia"/>
          <w:szCs w:val="20"/>
          <w:lang w:val="en-US"/>
        </w:rPr>
      </w:pPr>
    </w:p>
    <w:p w14:paraId="53E1FF6F" w14:textId="18619EBC" w:rsidR="00BA10FB" w:rsidRDefault="00327634" w:rsidP="0059317C">
      <w:pPr>
        <w:widowControl w:val="0"/>
        <w:autoSpaceDE w:val="0"/>
        <w:autoSpaceDN w:val="0"/>
        <w:adjustRightInd w:val="0"/>
        <w:spacing w:after="0" w:line="240" w:lineRule="auto"/>
        <w:rPr>
          <w:rFonts w:eastAsiaTheme="minorEastAsia"/>
          <w:szCs w:val="20"/>
          <w:lang w:val="en-US"/>
        </w:rPr>
      </w:pPr>
      <w:bookmarkStart w:id="45" w:name="_Hlk8795778"/>
      <w:r w:rsidRPr="0059317C">
        <w:rPr>
          <w:rFonts w:eastAsiaTheme="minorEastAsia"/>
          <w:szCs w:val="20"/>
          <w:lang w:val="en-US"/>
        </w:rPr>
        <w:t xml:space="preserve">I was </w:t>
      </w:r>
      <w:r w:rsidR="00364F61">
        <w:rPr>
          <w:rFonts w:eastAsiaTheme="minorEastAsia"/>
          <w:szCs w:val="20"/>
          <w:lang w:val="en-US"/>
        </w:rPr>
        <w:t xml:space="preserve">largely </w:t>
      </w:r>
      <w:r w:rsidRPr="0059317C">
        <w:rPr>
          <w:rFonts w:eastAsiaTheme="minorEastAsia"/>
          <w:szCs w:val="20"/>
          <w:lang w:val="en-US"/>
        </w:rPr>
        <w:t>wrong.  Opinion strongly swung to Goren’s side, and still remains</w:t>
      </w:r>
      <w:r w:rsidR="00170B5D">
        <w:rPr>
          <w:rFonts w:eastAsiaTheme="minorEastAsia"/>
          <w:szCs w:val="20"/>
          <w:lang w:val="en-US"/>
        </w:rPr>
        <w:t xml:space="preserve"> there</w:t>
      </w:r>
      <w:r w:rsidR="005323ED">
        <w:rPr>
          <w:rFonts w:eastAsiaTheme="minorEastAsia"/>
          <w:szCs w:val="20"/>
          <w:lang w:val="en-US"/>
        </w:rPr>
        <w:t xml:space="preserve">, </w:t>
      </w:r>
      <w:r w:rsidR="004E7F19">
        <w:rPr>
          <w:rFonts w:eastAsiaTheme="minorEastAsia"/>
          <w:szCs w:val="20"/>
          <w:lang w:val="en-US"/>
        </w:rPr>
        <w:t xml:space="preserve">principally </w:t>
      </w:r>
      <w:r w:rsidR="00390132">
        <w:rPr>
          <w:rFonts w:eastAsiaTheme="minorEastAsia"/>
          <w:szCs w:val="20"/>
          <w:lang w:val="en-US"/>
        </w:rPr>
        <w:t xml:space="preserve">in </w:t>
      </w:r>
      <w:r w:rsidR="005323ED">
        <w:rPr>
          <w:rFonts w:eastAsiaTheme="minorEastAsia"/>
          <w:szCs w:val="20"/>
          <w:lang w:val="en-US"/>
        </w:rPr>
        <w:t>archaeological circles</w:t>
      </w:r>
      <w:r w:rsidR="008E0171">
        <w:rPr>
          <w:rFonts w:eastAsiaTheme="minorEastAsia"/>
          <w:szCs w:val="20"/>
          <w:lang w:val="en-US"/>
        </w:rPr>
        <w:t>.</w:t>
      </w:r>
      <w:bookmarkEnd w:id="42"/>
      <w:r w:rsidR="005323ED">
        <w:rPr>
          <w:rFonts w:eastAsiaTheme="minorEastAsia"/>
          <w:szCs w:val="20"/>
          <w:lang w:val="en-US"/>
        </w:rPr>
        <w:t xml:space="preserve"> </w:t>
      </w:r>
      <w:r w:rsidR="008E0171">
        <w:rPr>
          <w:rFonts w:eastAsiaTheme="minorEastAsia"/>
          <w:szCs w:val="20"/>
          <w:lang w:val="en-US"/>
        </w:rPr>
        <w:t xml:space="preserve"> </w:t>
      </w:r>
      <w:r w:rsidR="00D84173">
        <w:rPr>
          <w:rFonts w:eastAsiaTheme="minorEastAsia"/>
          <w:szCs w:val="20"/>
          <w:lang w:val="en-US"/>
        </w:rPr>
        <w:t>A discussion by Dr</w:t>
      </w:r>
      <w:r w:rsidR="00BA10FB">
        <w:rPr>
          <w:rFonts w:eastAsiaTheme="minorEastAsia"/>
          <w:szCs w:val="20"/>
          <w:lang w:val="en-US"/>
        </w:rPr>
        <w:t>s</w:t>
      </w:r>
      <w:r w:rsidR="00D84173">
        <w:rPr>
          <w:rFonts w:eastAsiaTheme="minorEastAsia"/>
          <w:szCs w:val="20"/>
          <w:lang w:val="en-US"/>
        </w:rPr>
        <w:t xml:space="preserve">. </w:t>
      </w:r>
      <w:r w:rsidR="00BA10FB">
        <w:rPr>
          <w:rFonts w:eastAsiaTheme="minorEastAsia"/>
          <w:szCs w:val="20"/>
          <w:lang w:val="en-US"/>
        </w:rPr>
        <w:t xml:space="preserve">Daphna </w:t>
      </w:r>
      <w:r w:rsidR="00D84173">
        <w:rPr>
          <w:rFonts w:eastAsiaTheme="minorEastAsia"/>
          <w:szCs w:val="20"/>
          <w:lang w:val="en-US"/>
        </w:rPr>
        <w:t>Ben Tor and Lanny Bell of the c</w:t>
      </w:r>
      <w:r w:rsidR="00D84173" w:rsidRPr="00D84173">
        <w:rPr>
          <w:rFonts w:eastAsiaTheme="minorEastAsia"/>
          <w:szCs w:val="20"/>
          <w:lang w:val="en-US"/>
        </w:rPr>
        <w:t xml:space="preserve">lay </w:t>
      </w:r>
      <w:r w:rsidR="00D84173">
        <w:rPr>
          <w:rFonts w:eastAsiaTheme="minorEastAsia"/>
          <w:szCs w:val="20"/>
          <w:lang w:val="en-US"/>
        </w:rPr>
        <w:t>s</w:t>
      </w:r>
      <w:r w:rsidR="00D84173" w:rsidRPr="00D84173">
        <w:rPr>
          <w:rFonts w:eastAsiaTheme="minorEastAsia"/>
          <w:szCs w:val="20"/>
          <w:lang w:val="en-US"/>
        </w:rPr>
        <w:t>ealings</w:t>
      </w:r>
      <w:r w:rsidR="00BA10FB">
        <w:rPr>
          <w:rFonts w:eastAsiaTheme="minorEastAsia"/>
          <w:szCs w:val="20"/>
          <w:lang w:val="en-US"/>
        </w:rPr>
        <w:t>, which were</w:t>
      </w:r>
      <w:r w:rsidR="00D84173" w:rsidRPr="00D84173">
        <w:rPr>
          <w:rFonts w:eastAsiaTheme="minorEastAsia"/>
          <w:szCs w:val="20"/>
          <w:lang w:val="en-US"/>
        </w:rPr>
        <w:t xml:space="preserve"> </w:t>
      </w:r>
      <w:r w:rsidR="00C21D35">
        <w:rPr>
          <w:rFonts w:eastAsiaTheme="minorEastAsia"/>
          <w:szCs w:val="20"/>
          <w:lang w:val="en-US"/>
        </w:rPr>
        <w:t>impressed</w:t>
      </w:r>
      <w:r w:rsidR="00BA10FB">
        <w:rPr>
          <w:rFonts w:eastAsiaTheme="minorEastAsia"/>
          <w:szCs w:val="20"/>
          <w:lang w:val="en-US"/>
        </w:rPr>
        <w:t xml:space="preserve"> with</w:t>
      </w:r>
      <w:r w:rsidR="00C21D35">
        <w:rPr>
          <w:rFonts w:eastAsiaTheme="minorEastAsia"/>
          <w:szCs w:val="20"/>
          <w:lang w:val="en-US"/>
        </w:rPr>
        <w:t xml:space="preserve"> Egyptian scarabs</w:t>
      </w:r>
      <w:r w:rsidR="00BA10FB">
        <w:rPr>
          <w:rFonts w:eastAsiaTheme="minorEastAsia"/>
          <w:szCs w:val="20"/>
          <w:lang w:val="en-US"/>
        </w:rPr>
        <w:t>,</w:t>
      </w:r>
      <w:r w:rsidR="00C21D35">
        <w:rPr>
          <w:rFonts w:eastAsiaTheme="minorEastAsia"/>
          <w:szCs w:val="20"/>
          <w:lang w:val="en-US"/>
        </w:rPr>
        <w:t xml:space="preserve"> </w:t>
      </w:r>
      <w:r w:rsidR="00D84173" w:rsidRPr="00D84173">
        <w:rPr>
          <w:rFonts w:eastAsiaTheme="minorEastAsia"/>
          <w:szCs w:val="20"/>
          <w:lang w:val="en-US"/>
        </w:rPr>
        <w:t xml:space="preserve">from the </w:t>
      </w:r>
      <w:r w:rsidR="00C21D35">
        <w:rPr>
          <w:rFonts w:eastAsiaTheme="minorEastAsia"/>
          <w:szCs w:val="20"/>
          <w:lang w:val="en-US"/>
        </w:rPr>
        <w:t>M</w:t>
      </w:r>
      <w:r w:rsidR="00D84173" w:rsidRPr="00D84173">
        <w:rPr>
          <w:rFonts w:eastAsiaTheme="minorEastAsia"/>
          <w:szCs w:val="20"/>
          <w:lang w:val="en-US"/>
        </w:rPr>
        <w:t xml:space="preserve">oat </w:t>
      </w:r>
      <w:r w:rsidR="00C21D35">
        <w:rPr>
          <w:rFonts w:eastAsiaTheme="minorEastAsia"/>
          <w:szCs w:val="20"/>
          <w:lang w:val="en-US"/>
        </w:rPr>
        <w:t>D</w:t>
      </w:r>
      <w:r w:rsidR="00D84173" w:rsidRPr="00D84173">
        <w:rPr>
          <w:rFonts w:eastAsiaTheme="minorEastAsia"/>
          <w:szCs w:val="20"/>
          <w:lang w:val="en-US"/>
        </w:rPr>
        <w:t>eposit</w:t>
      </w:r>
      <w:r w:rsidR="00D84173">
        <w:rPr>
          <w:rFonts w:eastAsiaTheme="minorEastAsia"/>
          <w:szCs w:val="20"/>
          <w:lang w:val="en-US"/>
        </w:rPr>
        <w:t xml:space="preserve"> at </w:t>
      </w:r>
      <w:r w:rsidR="00211783">
        <w:rPr>
          <w:rFonts w:eastAsiaTheme="minorEastAsia"/>
          <w:szCs w:val="20"/>
          <w:lang w:val="en-US"/>
        </w:rPr>
        <w:t>Ashkelon</w:t>
      </w:r>
      <w:r w:rsidR="00211783">
        <w:rPr>
          <w:rStyle w:val="FootnoteReference"/>
          <w:rFonts w:eastAsiaTheme="minorEastAsia"/>
          <w:szCs w:val="20"/>
          <w:lang w:val="en-US"/>
        </w:rPr>
        <w:footnoteReference w:id="36"/>
      </w:r>
      <w:r w:rsidR="00D84173" w:rsidRPr="00D84173">
        <w:rPr>
          <w:rFonts w:eastAsiaTheme="minorEastAsia"/>
          <w:szCs w:val="20"/>
          <w:lang w:val="en-US"/>
        </w:rPr>
        <w:t xml:space="preserve"> </w:t>
      </w:r>
      <w:r w:rsidR="00287EB3">
        <w:rPr>
          <w:rFonts w:eastAsiaTheme="minorEastAsia"/>
          <w:szCs w:val="20"/>
          <w:lang w:val="en-US"/>
        </w:rPr>
        <w:t>illustrates the problem</w:t>
      </w:r>
      <w:r w:rsidR="00211783">
        <w:rPr>
          <w:rFonts w:eastAsiaTheme="minorEastAsia"/>
          <w:szCs w:val="20"/>
          <w:lang w:val="en-US"/>
        </w:rPr>
        <w:t xml:space="preserve">.  </w:t>
      </w:r>
      <w:r w:rsidR="00895B41">
        <w:rPr>
          <w:rFonts w:eastAsiaTheme="minorEastAsia"/>
          <w:szCs w:val="20"/>
          <w:lang w:val="en-US"/>
        </w:rPr>
        <w:t>U</w:t>
      </w:r>
      <w:r w:rsidR="00895B41" w:rsidRPr="00D84173">
        <w:rPr>
          <w:rFonts w:eastAsiaTheme="minorEastAsia"/>
          <w:szCs w:val="20"/>
          <w:lang w:val="en-US"/>
        </w:rPr>
        <w:t xml:space="preserve">npublished petrographic results </w:t>
      </w:r>
      <w:r w:rsidR="00895B41">
        <w:rPr>
          <w:rFonts w:eastAsiaTheme="minorEastAsia"/>
          <w:szCs w:val="20"/>
          <w:lang w:val="en-US"/>
        </w:rPr>
        <w:t xml:space="preserve">by </w:t>
      </w:r>
      <w:r w:rsidR="00895B41" w:rsidRPr="00D84173">
        <w:rPr>
          <w:rFonts w:eastAsiaTheme="minorEastAsia"/>
          <w:szCs w:val="20"/>
          <w:lang w:val="en-US"/>
        </w:rPr>
        <w:t>Goren</w:t>
      </w:r>
      <w:r w:rsidR="00895B41">
        <w:rPr>
          <w:rFonts w:eastAsiaTheme="minorEastAsia"/>
          <w:szCs w:val="20"/>
          <w:lang w:val="en-US"/>
        </w:rPr>
        <w:t xml:space="preserve"> are cited as being authoritative</w:t>
      </w:r>
      <w:r w:rsidR="00C21D35">
        <w:rPr>
          <w:rFonts w:eastAsiaTheme="minorEastAsia"/>
          <w:szCs w:val="20"/>
          <w:lang w:val="en-US"/>
        </w:rPr>
        <w:t>, whereas</w:t>
      </w:r>
      <w:r w:rsidR="00895B41">
        <w:rPr>
          <w:rFonts w:eastAsiaTheme="minorEastAsia"/>
          <w:szCs w:val="20"/>
          <w:lang w:val="en-US"/>
        </w:rPr>
        <w:t xml:space="preserve"> the </w:t>
      </w:r>
      <w:r w:rsidR="00B35196">
        <w:rPr>
          <w:rFonts w:eastAsiaTheme="minorEastAsia"/>
          <w:szCs w:val="20"/>
          <w:lang w:val="en-US"/>
        </w:rPr>
        <w:t xml:space="preserve">unpublished </w:t>
      </w:r>
      <w:r w:rsidR="00895B41">
        <w:rPr>
          <w:rFonts w:eastAsiaTheme="minorEastAsia"/>
          <w:szCs w:val="20"/>
          <w:lang w:val="en-US"/>
        </w:rPr>
        <w:t xml:space="preserve">NAA results go unmentioned.  </w:t>
      </w:r>
      <w:r w:rsidR="005911C1">
        <w:rPr>
          <w:rFonts w:eastAsiaTheme="minorEastAsia"/>
          <w:szCs w:val="20"/>
          <w:lang w:val="en-US"/>
        </w:rPr>
        <w:t xml:space="preserve">In advance of Goren’s petrographic analysis of the sealings, </w:t>
      </w:r>
      <w:r w:rsidR="00895B41">
        <w:rPr>
          <w:rFonts w:eastAsiaTheme="minorEastAsia"/>
          <w:szCs w:val="20"/>
          <w:lang w:val="en-US"/>
        </w:rPr>
        <w:t xml:space="preserve">I had emailed </w:t>
      </w:r>
      <w:r w:rsidR="00287EB3">
        <w:rPr>
          <w:rFonts w:eastAsiaTheme="minorEastAsia"/>
          <w:szCs w:val="20"/>
          <w:lang w:val="en-US"/>
        </w:rPr>
        <w:t xml:space="preserve">Dr. Ben-Tor </w:t>
      </w:r>
      <w:r w:rsidR="00F769CB">
        <w:rPr>
          <w:rFonts w:eastAsiaTheme="minorEastAsia"/>
          <w:szCs w:val="20"/>
          <w:lang w:val="en-US"/>
        </w:rPr>
        <w:t xml:space="preserve">in July 2000 </w:t>
      </w:r>
      <w:r w:rsidR="00895B41">
        <w:rPr>
          <w:rFonts w:eastAsiaTheme="minorEastAsia"/>
          <w:szCs w:val="20"/>
          <w:lang w:val="en-US"/>
        </w:rPr>
        <w:t>the NAA results for five sealings</w:t>
      </w:r>
      <w:r w:rsidR="00B35196">
        <w:rPr>
          <w:rFonts w:eastAsiaTheme="minorEastAsia"/>
          <w:szCs w:val="20"/>
          <w:lang w:val="en-US"/>
        </w:rPr>
        <w:t>, three of which demonstrated their having been made in Southern Palestine (one most likely at Ashkelon itself).  Two of sealings were of uncertain origin</w:t>
      </w:r>
      <w:r w:rsidR="00164078">
        <w:rPr>
          <w:rFonts w:eastAsiaTheme="minorEastAsia"/>
          <w:szCs w:val="20"/>
          <w:lang w:val="en-US"/>
        </w:rPr>
        <w:t xml:space="preserve">.  </w:t>
      </w:r>
      <w:r w:rsidR="00D84173" w:rsidRPr="00D84173">
        <w:rPr>
          <w:rFonts w:eastAsiaTheme="minorEastAsia"/>
          <w:szCs w:val="20"/>
          <w:lang w:val="en-US"/>
        </w:rPr>
        <w:t xml:space="preserve">There </w:t>
      </w:r>
      <w:r w:rsidR="00164078">
        <w:rPr>
          <w:rFonts w:eastAsiaTheme="minorEastAsia"/>
          <w:szCs w:val="20"/>
          <w:lang w:val="en-US"/>
        </w:rPr>
        <w:t>we</w:t>
      </w:r>
      <w:r w:rsidR="00D84173" w:rsidRPr="00D84173">
        <w:rPr>
          <w:rFonts w:eastAsiaTheme="minorEastAsia"/>
          <w:szCs w:val="20"/>
          <w:lang w:val="en-US"/>
        </w:rPr>
        <w:t>re no Egyptian "matches" for any of the samples</w:t>
      </w:r>
      <w:r w:rsidR="005A0A34">
        <w:rPr>
          <w:rFonts w:eastAsiaTheme="minorEastAsia"/>
          <w:szCs w:val="20"/>
          <w:lang w:val="en-US"/>
        </w:rPr>
        <w:t>.</w:t>
      </w:r>
    </w:p>
    <w:p w14:paraId="4D7D8D91" w14:textId="77777777" w:rsidR="00BA10FB" w:rsidRDefault="00BA10FB" w:rsidP="0059317C">
      <w:pPr>
        <w:widowControl w:val="0"/>
        <w:autoSpaceDE w:val="0"/>
        <w:autoSpaceDN w:val="0"/>
        <w:adjustRightInd w:val="0"/>
        <w:spacing w:after="0" w:line="240" w:lineRule="auto"/>
        <w:rPr>
          <w:rFonts w:eastAsiaTheme="minorEastAsia"/>
          <w:szCs w:val="20"/>
          <w:lang w:val="en-US"/>
        </w:rPr>
      </w:pPr>
    </w:p>
    <w:p w14:paraId="58C722AA" w14:textId="41B3FDA1" w:rsidR="006A6AD6" w:rsidRDefault="006A6AD6" w:rsidP="00D52718">
      <w:pPr>
        <w:spacing w:after="0"/>
        <w:rPr>
          <w:szCs w:val="24"/>
        </w:rPr>
      </w:pPr>
      <w:r>
        <w:rPr>
          <w:szCs w:val="24"/>
        </w:rPr>
        <w:t xml:space="preserve">The </w:t>
      </w:r>
      <w:r w:rsidR="008E3A74">
        <w:rPr>
          <w:szCs w:val="24"/>
        </w:rPr>
        <w:t xml:space="preserve">Ashkelon </w:t>
      </w:r>
      <w:r>
        <w:rPr>
          <w:szCs w:val="24"/>
        </w:rPr>
        <w:t xml:space="preserve">sealings are unique </w:t>
      </w:r>
      <w:r w:rsidR="008C6B86">
        <w:rPr>
          <w:szCs w:val="24"/>
        </w:rPr>
        <w:t xml:space="preserve">to Southern Palestine, apart from </w:t>
      </w:r>
      <w:r w:rsidR="006A3B16">
        <w:rPr>
          <w:szCs w:val="24"/>
        </w:rPr>
        <w:t xml:space="preserve">a single sealing </w:t>
      </w:r>
      <w:r w:rsidR="00242D85">
        <w:rPr>
          <w:szCs w:val="24"/>
        </w:rPr>
        <w:t xml:space="preserve">stamped </w:t>
      </w:r>
      <w:r w:rsidR="006A3B16">
        <w:rPr>
          <w:szCs w:val="24"/>
        </w:rPr>
        <w:t>with an Egyptian private-name scarab from Tell el-`Ajjul</w:t>
      </w:r>
      <w:r w:rsidR="00242D85">
        <w:rPr>
          <w:szCs w:val="24"/>
        </w:rPr>
        <w:t xml:space="preserve">, </w:t>
      </w:r>
      <w:r w:rsidR="006A3B16">
        <w:rPr>
          <w:szCs w:val="24"/>
        </w:rPr>
        <w:t>often argued to be Sharuhe</w:t>
      </w:r>
      <w:r w:rsidR="00E061D6">
        <w:rPr>
          <w:szCs w:val="24"/>
        </w:rPr>
        <w:t>n (</w:t>
      </w:r>
      <w:r w:rsidR="00781DEF">
        <w:rPr>
          <w:szCs w:val="24"/>
        </w:rPr>
        <w:t xml:space="preserve">although </w:t>
      </w:r>
      <w:r w:rsidR="009E28EC">
        <w:rPr>
          <w:szCs w:val="24"/>
        </w:rPr>
        <w:t>other</w:t>
      </w:r>
      <w:r w:rsidR="00781DEF">
        <w:rPr>
          <w:szCs w:val="24"/>
        </w:rPr>
        <w:t xml:space="preserve"> locations have been suggested including Gaza itself, now covered by a modern city</w:t>
      </w:r>
      <w:r w:rsidR="00E061D6">
        <w:rPr>
          <w:szCs w:val="24"/>
        </w:rPr>
        <w:t>)</w:t>
      </w:r>
      <w:r w:rsidR="00E10824">
        <w:rPr>
          <w:szCs w:val="24"/>
        </w:rPr>
        <w:t>.  The latter</w:t>
      </w:r>
      <w:r w:rsidR="00534692">
        <w:rPr>
          <w:szCs w:val="24"/>
        </w:rPr>
        <w:t xml:space="preserve">, which was captured by </w:t>
      </w:r>
      <w:r w:rsidR="00534692" w:rsidRPr="00236DC1">
        <w:rPr>
          <w:szCs w:val="24"/>
        </w:rPr>
        <w:t>Ahmose I</w:t>
      </w:r>
      <w:r w:rsidR="00534692">
        <w:rPr>
          <w:szCs w:val="24"/>
        </w:rPr>
        <w:t xml:space="preserve"> after a three-year siege at the beginning of the LBA, </w:t>
      </w:r>
      <w:r w:rsidR="00E10824">
        <w:rPr>
          <w:szCs w:val="24"/>
        </w:rPr>
        <w:t>was</w:t>
      </w:r>
      <w:r w:rsidR="006A3B16">
        <w:rPr>
          <w:szCs w:val="24"/>
        </w:rPr>
        <w:t xml:space="preserve"> </w:t>
      </w:r>
      <w:r w:rsidR="00534692">
        <w:rPr>
          <w:szCs w:val="24"/>
        </w:rPr>
        <w:t xml:space="preserve">a major stronghold </w:t>
      </w:r>
      <w:r w:rsidR="006A3B16">
        <w:rPr>
          <w:szCs w:val="24"/>
        </w:rPr>
        <w:t>in Southern Palestine</w:t>
      </w:r>
      <w:r w:rsidR="00534692" w:rsidRPr="00534692">
        <w:rPr>
          <w:szCs w:val="24"/>
        </w:rPr>
        <w:t xml:space="preserve"> </w:t>
      </w:r>
      <w:r w:rsidR="00534692">
        <w:rPr>
          <w:szCs w:val="24"/>
        </w:rPr>
        <w:t>to which the Hyksos retreated</w:t>
      </w:r>
      <w:r w:rsidR="00242D85">
        <w:rPr>
          <w:szCs w:val="24"/>
        </w:rPr>
        <w:t>.  This</w:t>
      </w:r>
      <w:r>
        <w:rPr>
          <w:szCs w:val="24"/>
        </w:rPr>
        <w:t xml:space="preserve"> amazing group of </w:t>
      </w:r>
      <w:r w:rsidR="00287EB3">
        <w:rPr>
          <w:szCs w:val="24"/>
        </w:rPr>
        <w:t>sealings</w:t>
      </w:r>
      <w:r>
        <w:rPr>
          <w:szCs w:val="24"/>
        </w:rPr>
        <w:t xml:space="preserve"> bears out the </w:t>
      </w:r>
      <w:r w:rsidR="00287EB3">
        <w:rPr>
          <w:szCs w:val="24"/>
        </w:rPr>
        <w:t xml:space="preserve">hypothesis that </w:t>
      </w:r>
      <w:r>
        <w:rPr>
          <w:szCs w:val="24"/>
        </w:rPr>
        <w:t xml:space="preserve">the </w:t>
      </w:r>
      <w:r w:rsidR="00287EB3">
        <w:rPr>
          <w:szCs w:val="24"/>
        </w:rPr>
        <w:t xml:space="preserve">earliest </w:t>
      </w:r>
      <w:r>
        <w:rPr>
          <w:szCs w:val="24"/>
        </w:rPr>
        <w:t xml:space="preserve">contacts between </w:t>
      </w:r>
      <w:r>
        <w:rPr>
          <w:szCs w:val="24"/>
        </w:rPr>
        <w:lastRenderedPageBreak/>
        <w:t xml:space="preserve">Southern Palestine and the eastern Nile Delta </w:t>
      </w:r>
      <w:r w:rsidR="00287EB3">
        <w:rPr>
          <w:szCs w:val="24"/>
        </w:rPr>
        <w:t xml:space="preserve">were </w:t>
      </w:r>
      <w:r>
        <w:rPr>
          <w:szCs w:val="24"/>
        </w:rPr>
        <w:t>in later MB IIA</w:t>
      </w:r>
      <w:r w:rsidR="00242D85">
        <w:rPr>
          <w:szCs w:val="24"/>
        </w:rPr>
        <w:t xml:space="preserve">, </w:t>
      </w:r>
      <w:r w:rsidR="00957D49">
        <w:rPr>
          <w:szCs w:val="24"/>
        </w:rPr>
        <w:t xml:space="preserve">which </w:t>
      </w:r>
      <w:r w:rsidR="00242D85">
        <w:rPr>
          <w:szCs w:val="24"/>
        </w:rPr>
        <w:t>accord</w:t>
      </w:r>
      <w:r w:rsidR="00957D49">
        <w:rPr>
          <w:szCs w:val="24"/>
        </w:rPr>
        <w:t>s</w:t>
      </w:r>
      <w:r w:rsidR="00242D85">
        <w:rPr>
          <w:szCs w:val="24"/>
        </w:rPr>
        <w:t xml:space="preserve"> with the NAA results and associated evidence, </w:t>
      </w:r>
      <w:r w:rsidR="00957D49">
        <w:rPr>
          <w:szCs w:val="24"/>
        </w:rPr>
        <w:t>especially</w:t>
      </w:r>
      <w:r w:rsidR="00242D85">
        <w:rPr>
          <w:szCs w:val="24"/>
        </w:rPr>
        <w:t xml:space="preserve"> </w:t>
      </w:r>
      <w:r w:rsidR="008E3A74">
        <w:rPr>
          <w:szCs w:val="24"/>
        </w:rPr>
        <w:t>scarabs.</w:t>
      </w:r>
      <w:r>
        <w:rPr>
          <w:szCs w:val="24"/>
        </w:rPr>
        <w:t xml:space="preserve">  </w:t>
      </w:r>
      <w:r w:rsidR="008E3A74">
        <w:rPr>
          <w:szCs w:val="24"/>
        </w:rPr>
        <w:t xml:space="preserve">Coming from the fill between two MB IIA </w:t>
      </w:r>
      <w:r w:rsidR="00957D49">
        <w:rPr>
          <w:szCs w:val="24"/>
        </w:rPr>
        <w:t xml:space="preserve">massive defensive </w:t>
      </w:r>
      <w:r w:rsidR="008E3A74">
        <w:rPr>
          <w:szCs w:val="24"/>
        </w:rPr>
        <w:t xml:space="preserve">walls at Ashkelon, the finding fits with the two-stage hypothesis of, first, the building of city-states in </w:t>
      </w:r>
      <w:r w:rsidR="006A4A7D">
        <w:rPr>
          <w:szCs w:val="24"/>
        </w:rPr>
        <w:t>Southern Palestine, earlier in MB IIA, and then the movement of people, given an ever-expanding</w:t>
      </w:r>
      <w:r w:rsidR="008E3A74">
        <w:rPr>
          <w:szCs w:val="24"/>
        </w:rPr>
        <w:t xml:space="preserve"> population</w:t>
      </w:r>
      <w:r w:rsidR="006A4A7D">
        <w:rPr>
          <w:szCs w:val="24"/>
        </w:rPr>
        <w:t xml:space="preserve">, </w:t>
      </w:r>
      <w:r w:rsidR="00F53996">
        <w:rPr>
          <w:szCs w:val="24"/>
        </w:rPr>
        <w:t xml:space="preserve">from Southern Palestine </w:t>
      </w:r>
      <w:r w:rsidR="006A4A7D">
        <w:rPr>
          <w:szCs w:val="24"/>
        </w:rPr>
        <w:t xml:space="preserve">to the </w:t>
      </w:r>
      <w:r w:rsidR="00F53996">
        <w:rPr>
          <w:szCs w:val="24"/>
        </w:rPr>
        <w:t xml:space="preserve">eastern </w:t>
      </w:r>
      <w:r w:rsidR="006A4A7D">
        <w:rPr>
          <w:szCs w:val="24"/>
        </w:rPr>
        <w:t>Nile Delta.  Once</w:t>
      </w:r>
      <w:r w:rsidR="00BD27A8">
        <w:rPr>
          <w:szCs w:val="24"/>
        </w:rPr>
        <w:t xml:space="preserve"> a</w:t>
      </w:r>
      <w:r w:rsidR="006A4A7D">
        <w:rPr>
          <w:szCs w:val="24"/>
        </w:rPr>
        <w:t xml:space="preserve"> </w:t>
      </w:r>
      <w:r w:rsidR="00BD27A8">
        <w:rPr>
          <w:szCs w:val="24"/>
        </w:rPr>
        <w:t xml:space="preserve">large Southern Palestinian population had </w:t>
      </w:r>
      <w:r w:rsidR="001A046B">
        <w:rPr>
          <w:szCs w:val="24"/>
        </w:rPr>
        <w:t xml:space="preserve">settled at </w:t>
      </w:r>
      <w:r w:rsidR="006A4A7D">
        <w:rPr>
          <w:szCs w:val="24"/>
        </w:rPr>
        <w:t>Tell el-Dab`a, the administrative prac</w:t>
      </w:r>
      <w:r w:rsidR="004957C8">
        <w:rPr>
          <w:szCs w:val="24"/>
        </w:rPr>
        <w:t>tic</w:t>
      </w:r>
      <w:r w:rsidR="006A4A7D">
        <w:rPr>
          <w:szCs w:val="24"/>
        </w:rPr>
        <w:t xml:space="preserve">e of sealing boxes, special </w:t>
      </w:r>
      <w:r w:rsidR="004957C8">
        <w:rPr>
          <w:szCs w:val="24"/>
        </w:rPr>
        <w:t xml:space="preserve">stone and pottery vessels, doors and silos, etc. with sealings, </w:t>
      </w:r>
      <w:r w:rsidR="00B8742C">
        <w:rPr>
          <w:szCs w:val="24"/>
        </w:rPr>
        <w:t xml:space="preserve">marked by official Egyptian scarabs, </w:t>
      </w:r>
      <w:r w:rsidR="007F4DAB">
        <w:rPr>
          <w:szCs w:val="24"/>
        </w:rPr>
        <w:t xml:space="preserve">might well have been </w:t>
      </w:r>
      <w:r w:rsidR="00B8742C">
        <w:rPr>
          <w:szCs w:val="24"/>
        </w:rPr>
        <w:t xml:space="preserve">transferred back </w:t>
      </w:r>
      <w:r w:rsidR="00F53996">
        <w:rPr>
          <w:szCs w:val="24"/>
        </w:rPr>
        <w:t xml:space="preserve">to Southern Palestine </w:t>
      </w:r>
      <w:r w:rsidR="00B8742C">
        <w:rPr>
          <w:szCs w:val="24"/>
        </w:rPr>
        <w:t xml:space="preserve">and used </w:t>
      </w:r>
      <w:r w:rsidR="00F53996">
        <w:rPr>
          <w:szCs w:val="24"/>
        </w:rPr>
        <w:t>there</w:t>
      </w:r>
      <w:r w:rsidR="00B8742C">
        <w:rPr>
          <w:szCs w:val="24"/>
        </w:rPr>
        <w:t>.</w:t>
      </w:r>
    </w:p>
    <w:p w14:paraId="05BE5011" w14:textId="711251BF" w:rsidR="00C637EB" w:rsidRDefault="00C637EB" w:rsidP="00D52718">
      <w:pPr>
        <w:spacing w:after="0"/>
        <w:rPr>
          <w:szCs w:val="24"/>
        </w:rPr>
      </w:pPr>
    </w:p>
    <w:p w14:paraId="4ECB40BF" w14:textId="3115F22A" w:rsidR="00AB05D8" w:rsidRDefault="00B8742C" w:rsidP="00D52718">
      <w:pPr>
        <w:spacing w:after="0" w:line="240" w:lineRule="auto"/>
        <w:rPr>
          <w:rFonts w:eastAsiaTheme="minorEastAsia"/>
          <w:szCs w:val="20"/>
          <w:lang w:val="en-US"/>
        </w:rPr>
      </w:pPr>
      <w:r>
        <w:rPr>
          <w:rFonts w:eastAsiaTheme="minorEastAsia"/>
          <w:szCs w:val="20"/>
          <w:lang w:val="en-US"/>
        </w:rPr>
        <w:t xml:space="preserve">While Goren’s petrographic results are generally in accord with the NAA results in this instance, </w:t>
      </w:r>
      <w:r w:rsidR="00E75C59">
        <w:rPr>
          <w:rFonts w:eastAsiaTheme="minorEastAsia"/>
          <w:szCs w:val="20"/>
          <w:lang w:val="en-US"/>
        </w:rPr>
        <w:t xml:space="preserve">one needs to see </w:t>
      </w:r>
      <w:r w:rsidR="00F53996">
        <w:rPr>
          <w:rFonts w:eastAsiaTheme="minorEastAsia"/>
          <w:szCs w:val="20"/>
          <w:lang w:val="en-US"/>
        </w:rPr>
        <w:t>his</w:t>
      </w:r>
      <w:r w:rsidR="00E75C59">
        <w:rPr>
          <w:rFonts w:eastAsiaTheme="minorEastAsia"/>
          <w:szCs w:val="20"/>
          <w:lang w:val="en-US"/>
        </w:rPr>
        <w:t xml:space="preserve"> evidence before accepting his results of “local” production </w:t>
      </w:r>
      <w:r w:rsidR="005A4AAB">
        <w:rPr>
          <w:rFonts w:eastAsiaTheme="minorEastAsia"/>
          <w:szCs w:val="20"/>
          <w:lang w:val="en-US"/>
        </w:rPr>
        <w:t xml:space="preserve">for </w:t>
      </w:r>
      <w:r w:rsidR="006A1F12">
        <w:rPr>
          <w:rFonts w:eastAsiaTheme="minorEastAsia"/>
          <w:szCs w:val="20"/>
          <w:lang w:val="en-US"/>
        </w:rPr>
        <w:t>the</w:t>
      </w:r>
      <w:r w:rsidR="005A4AAB">
        <w:rPr>
          <w:rFonts w:eastAsiaTheme="minorEastAsia"/>
          <w:szCs w:val="20"/>
          <w:lang w:val="en-US"/>
        </w:rPr>
        <w:t xml:space="preserve"> Ashkelon corpus of 41 sealings</w:t>
      </w:r>
      <w:r w:rsidR="00E75C59">
        <w:rPr>
          <w:rFonts w:eastAsiaTheme="minorEastAsia"/>
          <w:szCs w:val="20"/>
          <w:lang w:val="en-US"/>
        </w:rPr>
        <w:t xml:space="preserve">.  For example, it has not been possible to interrelate </w:t>
      </w:r>
      <w:r w:rsidR="005A4AAB">
        <w:rPr>
          <w:rFonts w:eastAsiaTheme="minorEastAsia"/>
          <w:szCs w:val="20"/>
          <w:lang w:val="en-US"/>
        </w:rPr>
        <w:t xml:space="preserve">the two sealings of “uncertain origin,” according to NAA, to Goren’s results.  </w:t>
      </w:r>
      <w:r w:rsidR="00CD4FDB">
        <w:rPr>
          <w:rFonts w:eastAsiaTheme="minorEastAsia"/>
          <w:szCs w:val="20"/>
          <w:lang w:val="en-US"/>
        </w:rPr>
        <w:t>The fact that these two sealings had unusually high amounts of calcium (</w:t>
      </w:r>
      <w:r w:rsidR="007F4DAB">
        <w:rPr>
          <w:rFonts w:eastAsiaTheme="minorEastAsia"/>
          <w:szCs w:val="20"/>
          <w:lang w:val="en-US"/>
        </w:rPr>
        <w:t>upwards of</w:t>
      </w:r>
      <w:r w:rsidR="00CD4FDB">
        <w:rPr>
          <w:rFonts w:eastAsiaTheme="minorEastAsia"/>
          <w:szCs w:val="20"/>
          <w:lang w:val="en-US"/>
        </w:rPr>
        <w:t xml:space="preserve"> 40%) could indicate that large amounts of calcite or another calcium-containing mineral was mixed with the clay as temper, and that once a correction is made for this, the NAA data will fall in line with the </w:t>
      </w:r>
      <w:r w:rsidR="007305D1">
        <w:rPr>
          <w:rFonts w:eastAsiaTheme="minorEastAsia"/>
          <w:szCs w:val="20"/>
          <w:lang w:val="en-US"/>
        </w:rPr>
        <w:t xml:space="preserve">those of the other three “local” sealings.  Another issue is just how extensive “local” is: does it refer only to Ashkelon or a larger area within the Gaza group of MBA sites?  If the latter, it is possible that some of the containers come from elsewhere within the region, such as Sharuhen.  </w:t>
      </w:r>
    </w:p>
    <w:p w14:paraId="5CE63580" w14:textId="77777777" w:rsidR="00AB05D8" w:rsidRDefault="00AB05D8" w:rsidP="00D52718">
      <w:pPr>
        <w:spacing w:after="0" w:line="240" w:lineRule="auto"/>
        <w:rPr>
          <w:rFonts w:eastAsiaTheme="minorEastAsia"/>
          <w:szCs w:val="20"/>
          <w:lang w:val="en-US"/>
        </w:rPr>
      </w:pPr>
    </w:p>
    <w:p w14:paraId="4F797494" w14:textId="1DCAE81C" w:rsidR="009C039D" w:rsidRDefault="00AB05D8" w:rsidP="004068A3">
      <w:pPr>
        <w:spacing w:after="0" w:line="240" w:lineRule="auto"/>
        <w:rPr>
          <w:rFonts w:eastAsiaTheme="minorEastAsia"/>
          <w:szCs w:val="20"/>
          <w:lang w:val="en-US"/>
        </w:rPr>
      </w:pPr>
      <w:r w:rsidRPr="00981592">
        <w:rPr>
          <w:rFonts w:eastAsiaTheme="minorEastAsia"/>
          <w:szCs w:val="24"/>
          <w:lang w:val="en-US"/>
        </w:rPr>
        <w:t>One of the</w:t>
      </w:r>
      <w:r w:rsidR="007305D1" w:rsidRPr="00981592">
        <w:rPr>
          <w:rFonts w:eastAsiaTheme="minorEastAsia"/>
          <w:szCs w:val="24"/>
          <w:lang w:val="en-US"/>
        </w:rPr>
        <w:t xml:space="preserve"> sealing</w:t>
      </w:r>
      <w:r w:rsidRPr="00981592">
        <w:rPr>
          <w:rFonts w:eastAsiaTheme="minorEastAsia"/>
          <w:szCs w:val="24"/>
          <w:lang w:val="en-US"/>
        </w:rPr>
        <w:t>s</w:t>
      </w:r>
      <w:r w:rsidR="007305D1" w:rsidRPr="00BD5589">
        <w:rPr>
          <w:rFonts w:eastAsiaTheme="minorEastAsia"/>
          <w:szCs w:val="24"/>
          <w:lang w:val="en-US"/>
        </w:rPr>
        <w:t xml:space="preserve"> </w:t>
      </w:r>
      <w:r w:rsidRPr="00BD5589">
        <w:rPr>
          <w:rFonts w:eastAsiaTheme="minorEastAsia"/>
          <w:szCs w:val="24"/>
          <w:lang w:val="en-US"/>
        </w:rPr>
        <w:t>was impressed</w:t>
      </w:r>
      <w:r>
        <w:rPr>
          <w:rFonts w:eastAsiaTheme="minorEastAsia"/>
          <w:szCs w:val="20"/>
          <w:lang w:val="en-US"/>
        </w:rPr>
        <w:t xml:space="preserve"> on the </w:t>
      </w:r>
      <w:r w:rsidR="007305D1">
        <w:rPr>
          <w:rFonts w:eastAsiaTheme="minorEastAsia"/>
          <w:szCs w:val="20"/>
          <w:lang w:val="en-US"/>
        </w:rPr>
        <w:t xml:space="preserve">stopper of </w:t>
      </w:r>
      <w:r>
        <w:rPr>
          <w:rFonts w:eastAsiaTheme="minorEastAsia"/>
          <w:szCs w:val="20"/>
          <w:lang w:val="en-US"/>
        </w:rPr>
        <w:t>a juglet, a practice unrecorded in Egypt</w:t>
      </w:r>
      <w:r w:rsidR="003E1036">
        <w:rPr>
          <w:rFonts w:eastAsiaTheme="minorEastAsia"/>
          <w:szCs w:val="20"/>
          <w:lang w:val="en-US"/>
        </w:rPr>
        <w:t xml:space="preserve"> and that</w:t>
      </w:r>
      <w:r>
        <w:rPr>
          <w:rFonts w:eastAsiaTheme="minorEastAsia"/>
          <w:szCs w:val="20"/>
          <w:lang w:val="en-US"/>
        </w:rPr>
        <w:t xml:space="preserve"> is unique to Southern Palestine</w:t>
      </w:r>
      <w:r w:rsidR="006B401B">
        <w:rPr>
          <w:rFonts w:eastAsiaTheme="minorEastAsia"/>
          <w:szCs w:val="20"/>
          <w:lang w:val="en-US"/>
        </w:rPr>
        <w:t>.</w:t>
      </w:r>
      <w:r w:rsidR="003E1036">
        <w:rPr>
          <w:rFonts w:eastAsiaTheme="minorEastAsia"/>
          <w:szCs w:val="20"/>
          <w:lang w:val="en-US"/>
        </w:rPr>
        <w:t xml:space="preserve">  Intriguingly, </w:t>
      </w:r>
      <w:r w:rsidR="0091463D">
        <w:rPr>
          <w:rFonts w:eastAsiaTheme="minorEastAsia"/>
          <w:szCs w:val="20"/>
          <w:lang w:val="en-US"/>
        </w:rPr>
        <w:t xml:space="preserve">the similarly unique </w:t>
      </w:r>
      <w:r w:rsidR="00B01607">
        <w:rPr>
          <w:rFonts w:eastAsiaTheme="minorEastAsia"/>
          <w:szCs w:val="20"/>
          <w:lang w:val="en-US"/>
        </w:rPr>
        <w:t>Palestinian</w:t>
      </w:r>
      <w:r w:rsidR="0091463D">
        <w:rPr>
          <w:rFonts w:eastAsiaTheme="minorEastAsia"/>
          <w:szCs w:val="20"/>
          <w:lang w:val="en-US"/>
        </w:rPr>
        <w:t xml:space="preserve"> practice of stamping a handle with a scarab </w:t>
      </w:r>
      <w:r w:rsidR="00EA4A35">
        <w:rPr>
          <w:rFonts w:eastAsiaTheme="minorEastAsia"/>
          <w:szCs w:val="20"/>
          <w:lang w:val="en-US"/>
        </w:rPr>
        <w:t xml:space="preserve">is attested on a Second Intermediate Period (MB IIB-C) </w:t>
      </w:r>
      <w:r w:rsidR="0091463D">
        <w:rPr>
          <w:rFonts w:eastAsiaTheme="minorEastAsia"/>
          <w:szCs w:val="20"/>
          <w:lang w:val="en-US"/>
        </w:rPr>
        <w:t>Canaanite Jar:</w:t>
      </w:r>
      <w:r w:rsidR="005A4AAB">
        <w:rPr>
          <w:rFonts w:eastAsiaTheme="minorEastAsia"/>
          <w:szCs w:val="20"/>
          <w:lang w:val="en-US"/>
        </w:rPr>
        <w:t xml:space="preserve"> </w:t>
      </w:r>
      <w:r w:rsidR="003E5656" w:rsidRPr="003E5656">
        <w:rPr>
          <w:rFonts w:eastAsiaTheme="minorEastAsia"/>
          <w:szCs w:val="20"/>
          <w:lang w:val="en-US"/>
        </w:rPr>
        <w:t>JH091</w:t>
      </w:r>
      <w:r w:rsidR="006B401B">
        <w:rPr>
          <w:rFonts w:eastAsiaTheme="minorEastAsia"/>
          <w:szCs w:val="20"/>
          <w:lang w:val="en-US"/>
        </w:rPr>
        <w:t xml:space="preserve"> </w:t>
      </w:r>
      <w:r w:rsidR="00BA04F2">
        <w:rPr>
          <w:rFonts w:eastAsiaTheme="minorEastAsia"/>
          <w:szCs w:val="20"/>
          <w:lang w:val="en-US"/>
        </w:rPr>
        <w:t>(</w:t>
      </w:r>
      <w:r w:rsidR="003E5656" w:rsidRPr="003E5656">
        <w:rPr>
          <w:rFonts w:eastAsiaTheme="minorEastAsia"/>
          <w:szCs w:val="20"/>
          <w:lang w:val="en-US"/>
        </w:rPr>
        <w:t>Fig. 6</w:t>
      </w:r>
      <w:r w:rsidR="004C33C6">
        <w:rPr>
          <w:rFonts w:eastAsiaTheme="minorEastAsia"/>
          <w:szCs w:val="20"/>
          <w:lang w:val="en-US"/>
        </w:rPr>
        <w:t>1</w:t>
      </w:r>
      <w:r w:rsidR="00EA4A35">
        <w:rPr>
          <w:rFonts w:eastAsiaTheme="minorEastAsia"/>
          <w:szCs w:val="20"/>
          <w:lang w:val="en-US"/>
        </w:rPr>
        <w:t>)</w:t>
      </w:r>
      <w:r w:rsidR="006B16F5">
        <w:rPr>
          <w:rFonts w:eastAsiaTheme="minorEastAsia"/>
          <w:szCs w:val="20"/>
          <w:lang w:val="en-US"/>
        </w:rPr>
        <w:t>,</w:t>
      </w:r>
      <w:r w:rsidR="00EA4A35">
        <w:rPr>
          <w:rFonts w:eastAsiaTheme="minorEastAsia"/>
          <w:szCs w:val="20"/>
          <w:lang w:val="en-US"/>
        </w:rPr>
        <w:t xml:space="preserve"> excavated at Tell el-Dab`a</w:t>
      </w:r>
      <w:r w:rsidR="006B16F5">
        <w:rPr>
          <w:rFonts w:eastAsiaTheme="minorEastAsia"/>
          <w:szCs w:val="20"/>
          <w:lang w:val="en-US"/>
        </w:rPr>
        <w:t>.  The NAA results</w:t>
      </w:r>
      <w:r w:rsidR="00BA04F2">
        <w:rPr>
          <w:rFonts w:eastAsiaTheme="minorEastAsia"/>
          <w:szCs w:val="20"/>
          <w:lang w:val="en-US"/>
        </w:rPr>
        <w:t xml:space="preserve"> </w:t>
      </w:r>
      <w:r w:rsidR="006B16F5">
        <w:rPr>
          <w:rFonts w:eastAsiaTheme="minorEastAsia"/>
          <w:szCs w:val="20"/>
          <w:lang w:val="en-US"/>
        </w:rPr>
        <w:t xml:space="preserve">confirm that the jar is an import </w:t>
      </w:r>
      <w:r w:rsidR="00BA04F2">
        <w:rPr>
          <w:rFonts w:eastAsiaTheme="minorEastAsia"/>
          <w:szCs w:val="20"/>
          <w:lang w:val="en-US"/>
        </w:rPr>
        <w:t>from Southern Palestine</w:t>
      </w:r>
      <w:r w:rsidR="00EA4A35">
        <w:rPr>
          <w:rFonts w:eastAsiaTheme="minorEastAsia"/>
          <w:szCs w:val="20"/>
          <w:lang w:val="en-US"/>
        </w:rPr>
        <w:t xml:space="preserve">.  </w:t>
      </w:r>
      <w:r w:rsidR="009C039D">
        <w:rPr>
          <w:rFonts w:eastAsiaTheme="minorEastAsia"/>
          <w:szCs w:val="20"/>
          <w:lang w:val="en-US"/>
        </w:rPr>
        <w:t xml:space="preserve"> Goren</w:t>
      </w:r>
      <w:r w:rsidR="00BC5BD6">
        <w:rPr>
          <w:rFonts w:eastAsiaTheme="minorEastAsia"/>
          <w:szCs w:val="20"/>
          <w:lang w:val="en-US"/>
        </w:rPr>
        <w:t xml:space="preserve">’s petrographic result was </w:t>
      </w:r>
      <w:r w:rsidR="006B401B">
        <w:rPr>
          <w:rFonts w:eastAsiaTheme="minorEastAsia"/>
          <w:szCs w:val="20"/>
          <w:lang w:val="en-US"/>
        </w:rPr>
        <w:t xml:space="preserve">that the vessel came </w:t>
      </w:r>
      <w:r w:rsidR="00BC5BD6">
        <w:rPr>
          <w:rFonts w:eastAsiaTheme="minorEastAsia"/>
          <w:szCs w:val="20"/>
          <w:lang w:val="en-US"/>
        </w:rPr>
        <w:t>“</w:t>
      </w:r>
      <w:r w:rsidR="00BC5BD6" w:rsidRPr="00BC5BD6">
        <w:rPr>
          <w:rFonts w:eastAsiaTheme="minorEastAsia"/>
          <w:szCs w:val="20"/>
          <w:lang w:val="en-US"/>
        </w:rPr>
        <w:t>Central and Southern Hill Country</w:t>
      </w:r>
      <w:r w:rsidR="00BC5BD6">
        <w:rPr>
          <w:rFonts w:eastAsiaTheme="minorEastAsia"/>
          <w:szCs w:val="20"/>
          <w:lang w:val="en-US"/>
        </w:rPr>
        <w:t>” in 1997</w:t>
      </w:r>
      <w:r w:rsidR="006B401B">
        <w:rPr>
          <w:rFonts w:eastAsiaTheme="minorEastAsia"/>
          <w:szCs w:val="20"/>
          <w:lang w:val="en-US"/>
        </w:rPr>
        <w:t>, which was subsequently changed to</w:t>
      </w:r>
      <w:r w:rsidR="00BC5BD6">
        <w:rPr>
          <w:rFonts w:eastAsiaTheme="minorEastAsia"/>
          <w:szCs w:val="20"/>
          <w:lang w:val="en-US"/>
        </w:rPr>
        <w:t xml:space="preserve"> “</w:t>
      </w:r>
      <w:r w:rsidR="00BC5BD6" w:rsidRPr="00BC5BD6">
        <w:rPr>
          <w:rFonts w:eastAsiaTheme="minorEastAsia"/>
          <w:szCs w:val="20"/>
          <w:lang w:val="en-US"/>
        </w:rPr>
        <w:t>Lebanon east of the coast line Beirut-Byblos</w:t>
      </w:r>
      <w:r w:rsidR="00BC5BD6">
        <w:rPr>
          <w:rFonts w:eastAsiaTheme="minorEastAsia"/>
          <w:szCs w:val="20"/>
          <w:lang w:val="en-US"/>
        </w:rPr>
        <w:t>” in 2004.</w:t>
      </w:r>
      <w:r w:rsidR="00A02E0C" w:rsidRPr="00A02E0C">
        <w:rPr>
          <w:rFonts w:eastAsiaTheme="minorEastAsia"/>
          <w:szCs w:val="20"/>
          <w:lang w:val="en-US"/>
        </w:rPr>
        <w:t xml:space="preserve"> </w:t>
      </w:r>
      <w:r w:rsidR="00A02E0C">
        <w:rPr>
          <w:rFonts w:eastAsiaTheme="minorEastAsia"/>
          <w:szCs w:val="20"/>
          <w:lang w:val="en-US"/>
        </w:rPr>
        <w:t xml:space="preserve"> Cohen-Weinberger and Goren (</w:t>
      </w:r>
      <w:r w:rsidR="00940BF2">
        <w:rPr>
          <w:rFonts w:eastAsiaTheme="minorEastAsia"/>
          <w:szCs w:val="20"/>
          <w:lang w:val="en-US"/>
        </w:rPr>
        <w:t>“</w:t>
      </w:r>
      <w:r w:rsidR="00940BF2">
        <w:t>Daba Petrography,”</w:t>
      </w:r>
      <w:r w:rsidR="00940BF2">
        <w:rPr>
          <w:rFonts w:eastAsiaTheme="minorEastAsia"/>
          <w:szCs w:val="20"/>
          <w:lang w:val="en-US"/>
        </w:rPr>
        <w:t xml:space="preserve"> p. </w:t>
      </w:r>
      <w:r w:rsidR="00A02E0C">
        <w:rPr>
          <w:rFonts w:eastAsiaTheme="minorEastAsia"/>
          <w:szCs w:val="20"/>
          <w:lang w:val="en-US"/>
        </w:rPr>
        <w:t xml:space="preserve">84) </w:t>
      </w:r>
      <w:r w:rsidR="003E1A8A">
        <w:rPr>
          <w:rFonts w:eastAsiaTheme="minorEastAsia"/>
          <w:szCs w:val="20"/>
          <w:lang w:val="en-US"/>
        </w:rPr>
        <w:t xml:space="preserve">“cautiously suggest” </w:t>
      </w:r>
      <w:r w:rsidR="00A02E0C">
        <w:rPr>
          <w:rFonts w:eastAsiaTheme="minorEastAsia"/>
          <w:szCs w:val="20"/>
          <w:lang w:val="en-US"/>
        </w:rPr>
        <w:t>that the s</w:t>
      </w:r>
      <w:r w:rsidR="003E1A8A">
        <w:rPr>
          <w:rFonts w:eastAsiaTheme="minorEastAsia"/>
          <w:szCs w:val="20"/>
          <w:lang w:val="en-US"/>
        </w:rPr>
        <w:t>carab and jar</w:t>
      </w:r>
      <w:r w:rsidR="00A02E0C">
        <w:rPr>
          <w:rFonts w:eastAsiaTheme="minorEastAsia"/>
          <w:szCs w:val="20"/>
          <w:lang w:val="en-US"/>
        </w:rPr>
        <w:t xml:space="preserve"> is that of a Byblian prince</w:t>
      </w:r>
      <w:r w:rsidR="003E1A8A">
        <w:rPr>
          <w:rFonts w:eastAsiaTheme="minorEastAsia"/>
          <w:szCs w:val="20"/>
          <w:lang w:val="en-US"/>
        </w:rPr>
        <w:t xml:space="preserve">, </w:t>
      </w:r>
      <w:r w:rsidR="005F5CA9">
        <w:rPr>
          <w:rFonts w:eastAsiaTheme="minorEastAsia"/>
          <w:szCs w:val="20"/>
          <w:lang w:val="en-US"/>
        </w:rPr>
        <w:t xml:space="preserve">which fits well </w:t>
      </w:r>
      <w:r w:rsidR="003E1A8A">
        <w:rPr>
          <w:rFonts w:eastAsiaTheme="minorEastAsia"/>
          <w:szCs w:val="20"/>
          <w:lang w:val="en-US"/>
        </w:rPr>
        <w:t>with Bi</w:t>
      </w:r>
      <w:r w:rsidR="005F5CA9">
        <w:rPr>
          <w:rFonts w:eastAsiaTheme="minorEastAsia"/>
          <w:szCs w:val="20"/>
          <w:lang w:val="en-US"/>
        </w:rPr>
        <w:t>etak’s theory</w:t>
      </w:r>
      <w:r w:rsidR="00A02E0C">
        <w:rPr>
          <w:rFonts w:eastAsiaTheme="minorEastAsia"/>
          <w:szCs w:val="20"/>
          <w:lang w:val="en-US"/>
        </w:rPr>
        <w:t>.</w:t>
      </w:r>
    </w:p>
    <w:p w14:paraId="48DBD47A" w14:textId="77777777" w:rsidR="009C039D" w:rsidRDefault="009C039D" w:rsidP="004068A3">
      <w:pPr>
        <w:spacing w:after="0" w:line="240" w:lineRule="auto"/>
        <w:rPr>
          <w:rFonts w:eastAsiaTheme="minorEastAsia"/>
          <w:szCs w:val="20"/>
          <w:lang w:val="en-US"/>
        </w:rPr>
      </w:pPr>
    </w:p>
    <w:p w14:paraId="3F6E331B" w14:textId="37C0D93F" w:rsidR="00EF4436" w:rsidRDefault="009C039D" w:rsidP="004068A3">
      <w:pPr>
        <w:spacing w:after="0" w:line="240" w:lineRule="auto"/>
        <w:rPr>
          <w:rFonts w:eastAsiaTheme="minorEastAsia"/>
          <w:szCs w:val="20"/>
          <w:lang w:val="en-US"/>
        </w:rPr>
      </w:pPr>
      <w:r>
        <w:rPr>
          <w:rFonts w:eastAsiaTheme="minorEastAsia"/>
          <w:szCs w:val="20"/>
          <w:lang w:val="en-US"/>
        </w:rPr>
        <w:t xml:space="preserve">The scarab’s </w:t>
      </w:r>
      <w:r w:rsidR="00BA04F2" w:rsidRPr="003E5656">
        <w:rPr>
          <w:rFonts w:eastAsiaTheme="minorEastAsia"/>
          <w:szCs w:val="20"/>
          <w:lang w:val="en-US"/>
        </w:rPr>
        <w:t>hieroglyphic inscription read</w:t>
      </w:r>
      <w:r w:rsidR="00BA04F2">
        <w:rPr>
          <w:rFonts w:eastAsiaTheme="minorEastAsia"/>
          <w:szCs w:val="20"/>
          <w:lang w:val="en-US"/>
        </w:rPr>
        <w:t>s</w:t>
      </w:r>
      <w:r w:rsidR="00BA04F2" w:rsidRPr="003E5656">
        <w:rPr>
          <w:rFonts w:eastAsiaTheme="minorEastAsia"/>
          <w:szCs w:val="20"/>
          <w:lang w:val="en-US"/>
        </w:rPr>
        <w:t xml:space="preserve"> </w:t>
      </w:r>
      <w:r w:rsidR="00BA04F2" w:rsidRPr="003538B4">
        <w:rPr>
          <w:rFonts w:eastAsiaTheme="minorEastAsia"/>
          <w:i/>
          <w:szCs w:val="20"/>
          <w:lang w:val="en-US"/>
        </w:rPr>
        <w:t xml:space="preserve">h3ty- </w:t>
      </w:r>
      <w:r w:rsidR="00E645D3">
        <w:rPr>
          <w:rFonts w:eastAsiaTheme="minorEastAsia"/>
          <w:i/>
          <w:szCs w:val="20"/>
          <w:lang w:val="en-US"/>
        </w:rPr>
        <w:t>`</w:t>
      </w:r>
      <w:r w:rsidR="00BA04F2" w:rsidRPr="003538B4">
        <w:rPr>
          <w:rFonts w:eastAsiaTheme="minorEastAsia"/>
          <w:i/>
          <w:szCs w:val="20"/>
          <w:lang w:val="en-US"/>
        </w:rPr>
        <w:t xml:space="preserve"> </w:t>
      </w:r>
      <w:r w:rsidR="00BC5BD6">
        <w:rPr>
          <w:rFonts w:eastAsiaTheme="minorEastAsia"/>
          <w:i/>
          <w:szCs w:val="20"/>
          <w:lang w:val="en-US"/>
        </w:rPr>
        <w:t>s</w:t>
      </w:r>
      <w:r w:rsidR="00BA04F2" w:rsidRPr="003538B4">
        <w:rPr>
          <w:rFonts w:eastAsiaTheme="minorEastAsia"/>
          <w:i/>
          <w:szCs w:val="20"/>
          <w:lang w:val="en-US"/>
        </w:rPr>
        <w:t>himw</w:t>
      </w:r>
      <w:r w:rsidR="00BA04F2">
        <w:rPr>
          <w:rFonts w:eastAsiaTheme="minorEastAsia"/>
          <w:szCs w:val="20"/>
          <w:lang w:val="en-US"/>
        </w:rPr>
        <w:t xml:space="preserve">, </w:t>
      </w:r>
      <w:r w:rsidR="00BA04F2" w:rsidRPr="003E5656">
        <w:rPr>
          <w:rFonts w:eastAsiaTheme="minorEastAsia"/>
          <w:szCs w:val="20"/>
          <w:lang w:val="en-US"/>
        </w:rPr>
        <w:t>"ruler [of] shimu</w:t>
      </w:r>
      <w:r w:rsidR="00BC5BD6">
        <w:rPr>
          <w:rFonts w:eastAsiaTheme="minorEastAsia"/>
          <w:szCs w:val="20"/>
          <w:lang w:val="en-US"/>
        </w:rPr>
        <w:t>,</w:t>
      </w:r>
      <w:r w:rsidR="00BA04F2" w:rsidRPr="003E5656">
        <w:rPr>
          <w:rFonts w:eastAsiaTheme="minorEastAsia"/>
          <w:szCs w:val="20"/>
          <w:lang w:val="en-US"/>
        </w:rPr>
        <w:t>"</w:t>
      </w:r>
      <w:r w:rsidR="00BA04F2">
        <w:rPr>
          <w:rFonts w:eastAsiaTheme="minorEastAsia"/>
          <w:szCs w:val="20"/>
          <w:lang w:val="en-US"/>
        </w:rPr>
        <w:t xml:space="preserve"> and</w:t>
      </w:r>
      <w:r w:rsidR="00954FBE">
        <w:rPr>
          <w:rFonts w:eastAsiaTheme="minorEastAsia"/>
          <w:szCs w:val="20"/>
          <w:lang w:val="en-US"/>
        </w:rPr>
        <w:t xml:space="preserve"> is variously interpreted as referring to a city-state or individual in the northern Levant</w:t>
      </w:r>
      <w:r w:rsidR="006667BC">
        <w:rPr>
          <w:rFonts w:eastAsiaTheme="minorEastAsia"/>
          <w:szCs w:val="20"/>
          <w:lang w:val="en-US"/>
        </w:rPr>
        <w:t xml:space="preserve"> (perhaps Damascus or</w:t>
      </w:r>
      <w:r w:rsidR="00952392">
        <w:rPr>
          <w:rFonts w:eastAsiaTheme="minorEastAsia"/>
          <w:szCs w:val="20"/>
          <w:lang w:val="en-US"/>
        </w:rPr>
        <w:t xml:space="preserve"> the latter’s</w:t>
      </w:r>
      <w:r w:rsidR="006667BC">
        <w:rPr>
          <w:rFonts w:eastAsiaTheme="minorEastAsia"/>
          <w:szCs w:val="20"/>
          <w:lang w:val="en-US"/>
        </w:rPr>
        <w:t xml:space="preserve"> prince</w:t>
      </w:r>
      <w:r w:rsidR="00940BF2">
        <w:rPr>
          <w:rStyle w:val="FootnoteReference"/>
          <w:rFonts w:eastAsiaTheme="minorEastAsia"/>
          <w:szCs w:val="20"/>
          <w:lang w:val="en-US"/>
        </w:rPr>
        <w:footnoteReference w:id="37"/>
      </w:r>
      <w:r w:rsidR="006667BC">
        <w:rPr>
          <w:rFonts w:eastAsiaTheme="minorEastAsia"/>
          <w:szCs w:val="20"/>
          <w:lang w:val="en-US"/>
        </w:rPr>
        <w:t>)</w:t>
      </w:r>
      <w:r w:rsidR="00954FBE">
        <w:rPr>
          <w:rFonts w:eastAsiaTheme="minorEastAsia"/>
          <w:szCs w:val="20"/>
          <w:lang w:val="en-US"/>
        </w:rPr>
        <w:t xml:space="preserve"> or Southern Palestine (</w:t>
      </w:r>
      <w:r w:rsidR="00952392">
        <w:rPr>
          <w:rFonts w:eastAsiaTheme="minorEastAsia"/>
          <w:szCs w:val="20"/>
          <w:lang w:val="en-US"/>
        </w:rPr>
        <w:t>e.g., Sharuhen--</w:t>
      </w:r>
      <w:r w:rsidR="004068A3">
        <w:rPr>
          <w:rFonts w:eastAsiaTheme="minorEastAsia"/>
          <w:szCs w:val="20"/>
          <w:lang w:val="en-US"/>
        </w:rPr>
        <w:t>this monograph</w:t>
      </w:r>
      <w:r w:rsidR="00952392">
        <w:rPr>
          <w:rFonts w:eastAsiaTheme="minorEastAsia"/>
          <w:szCs w:val="20"/>
          <w:lang w:val="en-US"/>
        </w:rPr>
        <w:t xml:space="preserve">, </w:t>
      </w:r>
      <w:r w:rsidR="004068A3">
        <w:rPr>
          <w:rFonts w:eastAsiaTheme="minorEastAsia"/>
          <w:szCs w:val="20"/>
          <w:lang w:val="en-US"/>
        </w:rPr>
        <w:t>p. 33)</w:t>
      </w:r>
      <w:r w:rsidR="00952392">
        <w:rPr>
          <w:rFonts w:eastAsiaTheme="minorEastAsia"/>
          <w:szCs w:val="20"/>
          <w:lang w:val="en-US"/>
        </w:rPr>
        <w:t xml:space="preserve">.  </w:t>
      </w:r>
      <w:r w:rsidR="005F5CA9">
        <w:rPr>
          <w:rFonts w:eastAsiaTheme="minorEastAsia"/>
          <w:szCs w:val="20"/>
          <w:lang w:val="en-US"/>
        </w:rPr>
        <w:t xml:space="preserve">Dr. Ben-Tor makes a strong case that the </w:t>
      </w:r>
      <w:r w:rsidR="00B01607">
        <w:rPr>
          <w:rFonts w:eastAsiaTheme="minorEastAsia"/>
          <w:szCs w:val="20"/>
          <w:lang w:val="en-US"/>
        </w:rPr>
        <w:t>stamped jar must origina</w:t>
      </w:r>
      <w:r w:rsidR="00A035A8">
        <w:rPr>
          <w:rFonts w:eastAsiaTheme="minorEastAsia"/>
          <w:szCs w:val="20"/>
          <w:lang w:val="en-US"/>
        </w:rPr>
        <w:t>te</w:t>
      </w:r>
      <w:r w:rsidR="00B01607">
        <w:rPr>
          <w:rFonts w:eastAsiaTheme="minorEastAsia"/>
          <w:szCs w:val="20"/>
          <w:lang w:val="en-US"/>
        </w:rPr>
        <w:t xml:space="preserve"> from Palestine, because </w:t>
      </w:r>
      <w:r w:rsidR="00A035A8">
        <w:rPr>
          <w:rFonts w:eastAsiaTheme="minorEastAsia"/>
          <w:szCs w:val="20"/>
          <w:lang w:val="en-US"/>
        </w:rPr>
        <w:t xml:space="preserve">stamped handles only </w:t>
      </w:r>
      <w:r w:rsidR="009835F1">
        <w:rPr>
          <w:rFonts w:eastAsiaTheme="minorEastAsia"/>
          <w:szCs w:val="20"/>
          <w:lang w:val="en-US"/>
        </w:rPr>
        <w:t xml:space="preserve">occur </w:t>
      </w:r>
      <w:r w:rsidR="00A035A8">
        <w:rPr>
          <w:rFonts w:eastAsiaTheme="minorEastAsia"/>
          <w:szCs w:val="20"/>
          <w:lang w:val="en-US"/>
        </w:rPr>
        <w:t>there (apart from imported jars at Tell el-Dab`a and Lish</w:t>
      </w:r>
      <w:r w:rsidR="00F73601">
        <w:rPr>
          <w:rFonts w:eastAsiaTheme="minorEastAsia"/>
          <w:szCs w:val="20"/>
          <w:lang w:val="en-US"/>
        </w:rPr>
        <w:t>t</w:t>
      </w:r>
      <w:r w:rsidR="00A035A8">
        <w:rPr>
          <w:rFonts w:eastAsiaTheme="minorEastAsia"/>
          <w:szCs w:val="20"/>
          <w:lang w:val="en-US"/>
        </w:rPr>
        <w:t xml:space="preserve">) and because there is not a single private-name scarab of a </w:t>
      </w:r>
      <w:r w:rsidR="00862C00">
        <w:rPr>
          <w:rFonts w:eastAsiaTheme="minorEastAsia"/>
          <w:szCs w:val="20"/>
          <w:lang w:val="en-US"/>
        </w:rPr>
        <w:t>Byblite or other northern Levantine</w:t>
      </w:r>
      <w:r w:rsidR="00A035A8">
        <w:rPr>
          <w:rFonts w:eastAsiaTheme="minorEastAsia"/>
          <w:szCs w:val="20"/>
          <w:lang w:val="en-US"/>
        </w:rPr>
        <w:t xml:space="preserve"> prince after the late Middle Kingdom</w:t>
      </w:r>
      <w:r w:rsidR="00862C00">
        <w:rPr>
          <w:rFonts w:eastAsiaTheme="minorEastAsia"/>
          <w:szCs w:val="20"/>
          <w:lang w:val="en-US"/>
        </w:rPr>
        <w:t xml:space="preserve"> (personal communication, </w:t>
      </w:r>
      <w:r w:rsidR="0007641F">
        <w:rPr>
          <w:rFonts w:eastAsiaTheme="minorEastAsia"/>
          <w:szCs w:val="20"/>
          <w:lang w:val="en-US"/>
        </w:rPr>
        <w:t xml:space="preserve">Feb. 21, 2001).  </w:t>
      </w:r>
      <w:r w:rsidR="009835F1">
        <w:rPr>
          <w:rFonts w:eastAsiaTheme="minorEastAsia"/>
          <w:szCs w:val="20"/>
          <w:lang w:val="en-US"/>
        </w:rPr>
        <w:t>S</w:t>
      </w:r>
      <w:r w:rsidR="0007641F">
        <w:rPr>
          <w:rFonts w:eastAsiaTheme="minorEastAsia"/>
          <w:szCs w:val="20"/>
          <w:lang w:val="en-US"/>
        </w:rPr>
        <w:t xml:space="preserve">he </w:t>
      </w:r>
      <w:r w:rsidR="009835F1">
        <w:rPr>
          <w:rFonts w:eastAsiaTheme="minorEastAsia"/>
          <w:szCs w:val="20"/>
          <w:lang w:val="en-US"/>
        </w:rPr>
        <w:t xml:space="preserve">also </w:t>
      </w:r>
      <w:r w:rsidR="0007641F">
        <w:rPr>
          <w:rFonts w:eastAsiaTheme="minorEastAsia"/>
          <w:szCs w:val="20"/>
          <w:lang w:val="en-US"/>
        </w:rPr>
        <w:t xml:space="preserve">informed me </w:t>
      </w:r>
      <w:r w:rsidR="009835F1">
        <w:rPr>
          <w:rFonts w:eastAsiaTheme="minorEastAsia"/>
          <w:szCs w:val="20"/>
          <w:lang w:val="en-US"/>
        </w:rPr>
        <w:t xml:space="preserve">in the same email </w:t>
      </w:r>
      <w:r w:rsidR="0007641F">
        <w:rPr>
          <w:rFonts w:eastAsiaTheme="minorEastAsia"/>
          <w:szCs w:val="20"/>
          <w:lang w:val="en-US"/>
        </w:rPr>
        <w:t xml:space="preserve">that </w:t>
      </w:r>
      <w:r w:rsidR="00133641" w:rsidRPr="003538B4">
        <w:rPr>
          <w:rFonts w:eastAsiaTheme="minorEastAsia"/>
          <w:i/>
          <w:szCs w:val="20"/>
          <w:lang w:val="en-US"/>
        </w:rPr>
        <w:t xml:space="preserve">h3ty- </w:t>
      </w:r>
      <w:r w:rsidR="00133641">
        <w:rPr>
          <w:rFonts w:eastAsiaTheme="minorEastAsia"/>
          <w:i/>
          <w:szCs w:val="20"/>
          <w:lang w:val="en-US"/>
        </w:rPr>
        <w:t>`</w:t>
      </w:r>
      <w:r w:rsidR="00133641" w:rsidRPr="003538B4">
        <w:rPr>
          <w:rFonts w:eastAsiaTheme="minorEastAsia"/>
          <w:i/>
          <w:szCs w:val="20"/>
          <w:lang w:val="en-US"/>
        </w:rPr>
        <w:t xml:space="preserve"> </w:t>
      </w:r>
      <w:r w:rsidR="0007641F">
        <w:rPr>
          <w:rFonts w:eastAsiaTheme="minorEastAsia"/>
          <w:szCs w:val="20"/>
          <w:lang w:val="en-US"/>
        </w:rPr>
        <w:t xml:space="preserve">on Byblite scarabs </w:t>
      </w:r>
      <w:r w:rsidR="00F73601">
        <w:rPr>
          <w:rFonts w:eastAsiaTheme="minorEastAsia"/>
          <w:szCs w:val="20"/>
          <w:lang w:val="en-US"/>
        </w:rPr>
        <w:t>is</w:t>
      </w:r>
      <w:r w:rsidR="0007641F">
        <w:rPr>
          <w:rFonts w:eastAsiaTheme="minorEastAsia"/>
          <w:szCs w:val="20"/>
          <w:lang w:val="en-US"/>
        </w:rPr>
        <w:t xml:space="preserve"> always accompan</w:t>
      </w:r>
      <w:r w:rsidR="00E061D6">
        <w:rPr>
          <w:rFonts w:eastAsiaTheme="minorEastAsia"/>
          <w:szCs w:val="20"/>
          <w:lang w:val="en-US"/>
        </w:rPr>
        <w:t>i</w:t>
      </w:r>
      <w:r w:rsidR="0007641F">
        <w:rPr>
          <w:rFonts w:eastAsiaTheme="minorEastAsia"/>
          <w:szCs w:val="20"/>
          <w:lang w:val="en-US"/>
        </w:rPr>
        <w:t xml:space="preserve">ed </w:t>
      </w:r>
      <w:r w:rsidR="00E061D6">
        <w:rPr>
          <w:rFonts w:eastAsiaTheme="minorEastAsia"/>
          <w:szCs w:val="20"/>
          <w:lang w:val="en-US"/>
        </w:rPr>
        <w:t>by</w:t>
      </w:r>
      <w:r w:rsidR="0007641F">
        <w:rPr>
          <w:rFonts w:eastAsiaTheme="minorEastAsia"/>
          <w:szCs w:val="20"/>
          <w:lang w:val="en-US"/>
        </w:rPr>
        <w:t xml:space="preserve"> the name of</w:t>
      </w:r>
      <w:r w:rsidR="00E061D6">
        <w:rPr>
          <w:rFonts w:eastAsiaTheme="minorEastAsia"/>
          <w:szCs w:val="20"/>
          <w:lang w:val="en-US"/>
        </w:rPr>
        <w:t xml:space="preserve"> </w:t>
      </w:r>
      <w:r w:rsidR="00F73601">
        <w:rPr>
          <w:rFonts w:eastAsiaTheme="minorEastAsia"/>
          <w:szCs w:val="20"/>
          <w:lang w:val="en-US"/>
        </w:rPr>
        <w:t>Byblos</w:t>
      </w:r>
      <w:r w:rsidR="00D659F3">
        <w:rPr>
          <w:rFonts w:eastAsiaTheme="minorEastAsia"/>
          <w:szCs w:val="20"/>
          <w:lang w:val="en-US"/>
        </w:rPr>
        <w:t xml:space="preserve"> and that</w:t>
      </w:r>
      <w:r w:rsidR="0007641F">
        <w:rPr>
          <w:rFonts w:eastAsiaTheme="minorEastAsia"/>
          <w:szCs w:val="20"/>
          <w:lang w:val="en-US"/>
        </w:rPr>
        <w:t xml:space="preserve"> </w:t>
      </w:r>
      <w:r w:rsidR="00D659F3" w:rsidRPr="007E1F4F">
        <w:rPr>
          <w:rFonts w:eastAsiaTheme="minorEastAsia"/>
          <w:szCs w:val="20"/>
          <w:lang w:val="en-US"/>
        </w:rPr>
        <w:t xml:space="preserve">royal-name scarabs </w:t>
      </w:r>
      <w:r w:rsidR="00D659F3">
        <w:rPr>
          <w:rFonts w:eastAsiaTheme="minorEastAsia"/>
          <w:szCs w:val="20"/>
          <w:lang w:val="en-US"/>
        </w:rPr>
        <w:t xml:space="preserve">are </w:t>
      </w:r>
      <w:r w:rsidR="00667154">
        <w:rPr>
          <w:rFonts w:eastAsiaTheme="minorEastAsia"/>
          <w:szCs w:val="20"/>
          <w:lang w:val="en-US"/>
        </w:rPr>
        <w:t xml:space="preserve">as </w:t>
      </w:r>
      <w:r w:rsidR="00D659F3">
        <w:rPr>
          <w:rFonts w:eastAsiaTheme="minorEastAsia"/>
          <w:szCs w:val="20"/>
          <w:lang w:val="en-US"/>
        </w:rPr>
        <w:t xml:space="preserve">yet </w:t>
      </w:r>
      <w:r w:rsidR="00F73601">
        <w:rPr>
          <w:rFonts w:eastAsiaTheme="minorEastAsia"/>
          <w:szCs w:val="20"/>
          <w:lang w:val="en-US"/>
        </w:rPr>
        <w:t xml:space="preserve">unattested </w:t>
      </w:r>
      <w:r w:rsidR="009835F1">
        <w:rPr>
          <w:rFonts w:eastAsiaTheme="minorEastAsia"/>
          <w:szCs w:val="20"/>
          <w:lang w:val="en-US"/>
        </w:rPr>
        <w:t>in the</w:t>
      </w:r>
      <w:r w:rsidR="0007641F">
        <w:rPr>
          <w:rFonts w:eastAsiaTheme="minorEastAsia"/>
          <w:szCs w:val="20"/>
          <w:lang w:val="en-US"/>
        </w:rPr>
        <w:t xml:space="preserve"> northern Levant</w:t>
      </w:r>
      <w:r w:rsidR="009835F1">
        <w:rPr>
          <w:rFonts w:eastAsiaTheme="minorEastAsia"/>
          <w:szCs w:val="20"/>
          <w:lang w:val="en-US"/>
        </w:rPr>
        <w:t xml:space="preserve"> following the</w:t>
      </w:r>
      <w:r w:rsidR="00D659F3">
        <w:rPr>
          <w:rFonts w:eastAsiaTheme="minorEastAsia"/>
          <w:szCs w:val="20"/>
          <w:lang w:val="en-US"/>
        </w:rPr>
        <w:t xml:space="preserve"> Middle Kingdom.</w:t>
      </w:r>
      <w:r w:rsidR="00667154">
        <w:rPr>
          <w:rStyle w:val="FootnoteReference"/>
          <w:rFonts w:eastAsiaTheme="minorEastAsia"/>
          <w:szCs w:val="20"/>
          <w:lang w:val="en-US"/>
        </w:rPr>
        <w:footnoteReference w:id="38"/>
      </w:r>
      <w:r w:rsidR="00D659F3">
        <w:rPr>
          <w:rFonts w:eastAsiaTheme="minorEastAsia"/>
          <w:szCs w:val="20"/>
          <w:lang w:val="en-US"/>
        </w:rPr>
        <w:t xml:space="preserve">  She conclude</w:t>
      </w:r>
      <w:r w:rsidR="00727656">
        <w:rPr>
          <w:rFonts w:eastAsiaTheme="minorEastAsia"/>
          <w:szCs w:val="20"/>
          <w:lang w:val="en-US"/>
        </w:rPr>
        <w:t>d</w:t>
      </w:r>
      <w:r w:rsidR="00D659F3">
        <w:rPr>
          <w:rFonts w:eastAsiaTheme="minorEastAsia"/>
          <w:szCs w:val="20"/>
          <w:lang w:val="en-US"/>
        </w:rPr>
        <w:t xml:space="preserve"> by stating: “I strongly believe the jar comes from Palestine.”   </w:t>
      </w:r>
      <w:r w:rsidR="006B16F5">
        <w:rPr>
          <w:rFonts w:eastAsiaTheme="minorEastAsia"/>
          <w:szCs w:val="20"/>
          <w:lang w:val="en-US"/>
        </w:rPr>
        <w:t xml:space="preserve">That </w:t>
      </w:r>
      <w:r w:rsidR="00727656">
        <w:rPr>
          <w:rFonts w:eastAsiaTheme="minorEastAsia"/>
          <w:szCs w:val="20"/>
          <w:lang w:val="en-US"/>
        </w:rPr>
        <w:t xml:space="preserve">inference </w:t>
      </w:r>
      <w:r w:rsidR="006B16F5">
        <w:rPr>
          <w:rFonts w:eastAsiaTheme="minorEastAsia"/>
          <w:szCs w:val="20"/>
          <w:lang w:val="en-US"/>
        </w:rPr>
        <w:t>can now be narrowed down to Southern Palestine</w:t>
      </w:r>
      <w:r w:rsidR="00EF4436">
        <w:rPr>
          <w:rFonts w:eastAsiaTheme="minorEastAsia"/>
          <w:szCs w:val="20"/>
          <w:lang w:val="en-US"/>
        </w:rPr>
        <w:t xml:space="preserve"> </w:t>
      </w:r>
      <w:r w:rsidR="001C1E73">
        <w:rPr>
          <w:rFonts w:eastAsiaTheme="minorEastAsia"/>
          <w:szCs w:val="20"/>
          <w:lang w:val="en-US"/>
        </w:rPr>
        <w:t>to a very high level of probability</w:t>
      </w:r>
      <w:r w:rsidR="00F73601">
        <w:rPr>
          <w:rFonts w:eastAsiaTheme="minorEastAsia"/>
          <w:szCs w:val="20"/>
          <w:lang w:val="en-US"/>
        </w:rPr>
        <w:t xml:space="preserve"> according to the NAA results</w:t>
      </w:r>
      <w:r w:rsidR="00EF4436">
        <w:rPr>
          <w:rFonts w:eastAsiaTheme="minorEastAsia"/>
          <w:szCs w:val="20"/>
          <w:lang w:val="en-US"/>
        </w:rPr>
        <w:t>.</w:t>
      </w:r>
    </w:p>
    <w:p w14:paraId="29514405" w14:textId="77777777" w:rsidR="00EF4436" w:rsidRDefault="00EF4436" w:rsidP="004068A3">
      <w:pPr>
        <w:spacing w:after="0" w:line="240" w:lineRule="auto"/>
        <w:rPr>
          <w:rFonts w:eastAsiaTheme="minorEastAsia"/>
          <w:szCs w:val="20"/>
          <w:lang w:val="en-US"/>
        </w:rPr>
      </w:pPr>
    </w:p>
    <w:p w14:paraId="7CA1E2F8" w14:textId="3BADAFB7" w:rsidR="007239DC" w:rsidRDefault="00EF4436" w:rsidP="00162B8B">
      <w:pPr>
        <w:spacing w:after="0" w:line="240" w:lineRule="auto"/>
        <w:rPr>
          <w:rFonts w:eastAsiaTheme="minorEastAsia"/>
          <w:szCs w:val="20"/>
          <w:lang w:val="en-US"/>
        </w:rPr>
      </w:pPr>
      <w:bookmarkStart w:id="47" w:name="_Hlk9139142"/>
      <w:r>
        <w:rPr>
          <w:rFonts w:eastAsiaTheme="minorEastAsia"/>
          <w:szCs w:val="20"/>
          <w:lang w:val="en-US"/>
        </w:rPr>
        <w:t>As Dr</w:t>
      </w:r>
      <w:r w:rsidR="00215B98">
        <w:rPr>
          <w:rFonts w:eastAsiaTheme="minorEastAsia"/>
          <w:szCs w:val="20"/>
          <w:lang w:val="en-US"/>
        </w:rPr>
        <w:t>s</w:t>
      </w:r>
      <w:r>
        <w:rPr>
          <w:rFonts w:eastAsiaTheme="minorEastAsia"/>
          <w:szCs w:val="20"/>
          <w:lang w:val="en-US"/>
        </w:rPr>
        <w:t xml:space="preserve">. Ben-Tor </w:t>
      </w:r>
      <w:r w:rsidR="00215B98">
        <w:rPr>
          <w:rFonts w:eastAsiaTheme="minorEastAsia"/>
          <w:szCs w:val="20"/>
          <w:lang w:val="en-US"/>
        </w:rPr>
        <w:t xml:space="preserve">and Bell </w:t>
      </w:r>
      <w:r>
        <w:rPr>
          <w:rFonts w:eastAsiaTheme="minorEastAsia"/>
          <w:szCs w:val="20"/>
          <w:lang w:val="en-US"/>
        </w:rPr>
        <w:t>cogently argue,</w:t>
      </w:r>
      <w:r w:rsidR="00215B98">
        <w:rPr>
          <w:rStyle w:val="FootnoteReference"/>
          <w:rFonts w:eastAsiaTheme="minorEastAsia"/>
          <w:szCs w:val="20"/>
          <w:lang w:val="en-US"/>
        </w:rPr>
        <w:footnoteReference w:id="39"/>
      </w:r>
      <w:r>
        <w:rPr>
          <w:rFonts w:eastAsiaTheme="minorEastAsia"/>
          <w:szCs w:val="20"/>
          <w:lang w:val="en-US"/>
        </w:rPr>
        <w:t xml:space="preserve"> </w:t>
      </w:r>
      <w:r w:rsidR="008B0FDE" w:rsidRPr="006A6AD6">
        <w:rPr>
          <w:rFonts w:eastAsiaTheme="minorEastAsia"/>
          <w:szCs w:val="20"/>
          <w:lang w:val="en-US"/>
        </w:rPr>
        <w:t xml:space="preserve">the </w:t>
      </w:r>
      <w:r w:rsidR="008B0FDE">
        <w:rPr>
          <w:rFonts w:eastAsiaTheme="minorEastAsia"/>
          <w:szCs w:val="20"/>
          <w:lang w:val="en-US"/>
        </w:rPr>
        <w:t xml:space="preserve">best </w:t>
      </w:r>
      <w:r w:rsidR="008F0518">
        <w:rPr>
          <w:rFonts w:eastAsiaTheme="minorEastAsia"/>
          <w:szCs w:val="20"/>
          <w:lang w:val="en-US"/>
        </w:rPr>
        <w:t xml:space="preserve">explanation </w:t>
      </w:r>
      <w:r w:rsidR="008B0FDE">
        <w:rPr>
          <w:rFonts w:eastAsiaTheme="minorEastAsia"/>
          <w:szCs w:val="20"/>
          <w:lang w:val="en-US"/>
        </w:rPr>
        <w:t>for the Ashkelon sealings</w:t>
      </w:r>
      <w:r w:rsidR="008F0518">
        <w:rPr>
          <w:rFonts w:eastAsiaTheme="minorEastAsia"/>
          <w:szCs w:val="20"/>
          <w:lang w:val="en-US"/>
        </w:rPr>
        <w:t xml:space="preserve"> and other scarab evidence</w:t>
      </w:r>
      <w:r w:rsidR="008B0FDE">
        <w:rPr>
          <w:rFonts w:eastAsiaTheme="minorEastAsia"/>
          <w:szCs w:val="20"/>
          <w:lang w:val="en-US"/>
        </w:rPr>
        <w:t>—</w:t>
      </w:r>
      <w:r w:rsidR="007A3335">
        <w:rPr>
          <w:rFonts w:eastAsiaTheme="minorEastAsia"/>
          <w:szCs w:val="20"/>
          <w:lang w:val="en-US"/>
        </w:rPr>
        <w:t>as well as</w:t>
      </w:r>
      <w:r w:rsidR="00215B98">
        <w:rPr>
          <w:rFonts w:eastAsiaTheme="minorEastAsia"/>
          <w:szCs w:val="20"/>
          <w:lang w:val="en-US"/>
        </w:rPr>
        <w:t xml:space="preserve"> </w:t>
      </w:r>
      <w:r w:rsidR="008F0518">
        <w:rPr>
          <w:rFonts w:eastAsiaTheme="minorEastAsia"/>
          <w:szCs w:val="20"/>
          <w:lang w:val="en-US"/>
        </w:rPr>
        <w:t xml:space="preserve">the NAA findings—is that </w:t>
      </w:r>
      <w:r w:rsidR="006A6AD6" w:rsidRPr="006A6AD6">
        <w:rPr>
          <w:rFonts w:eastAsiaTheme="minorEastAsia"/>
          <w:szCs w:val="20"/>
          <w:lang w:val="en-US"/>
        </w:rPr>
        <w:t xml:space="preserve">Egyptian administrative </w:t>
      </w:r>
      <w:r w:rsidR="007A3335">
        <w:rPr>
          <w:rFonts w:eastAsiaTheme="minorEastAsia"/>
          <w:szCs w:val="20"/>
          <w:lang w:val="en-US"/>
        </w:rPr>
        <w:t>practice</w:t>
      </w:r>
      <w:r w:rsidR="007A3335" w:rsidRPr="006A6AD6">
        <w:rPr>
          <w:rFonts w:eastAsiaTheme="minorEastAsia"/>
          <w:szCs w:val="20"/>
          <w:lang w:val="en-US"/>
        </w:rPr>
        <w:t xml:space="preserve"> </w:t>
      </w:r>
      <w:r w:rsidR="006A6AD6" w:rsidRPr="006A6AD6">
        <w:rPr>
          <w:rFonts w:eastAsiaTheme="minorEastAsia"/>
          <w:szCs w:val="20"/>
          <w:lang w:val="en-US"/>
        </w:rPr>
        <w:t xml:space="preserve">was </w:t>
      </w:r>
      <w:r w:rsidR="00961D01">
        <w:rPr>
          <w:rFonts w:eastAsiaTheme="minorEastAsia"/>
          <w:szCs w:val="20"/>
          <w:lang w:val="en-US"/>
        </w:rPr>
        <w:t>already in place at Tell el-Dab`a in the late Middle Kingdom</w:t>
      </w:r>
      <w:r w:rsidR="00AB7A1A">
        <w:rPr>
          <w:rFonts w:eastAsiaTheme="minorEastAsia"/>
          <w:szCs w:val="20"/>
          <w:lang w:val="en-US"/>
        </w:rPr>
        <w:t xml:space="preserve">. </w:t>
      </w:r>
      <w:r w:rsidR="00961D01">
        <w:rPr>
          <w:rFonts w:eastAsiaTheme="minorEastAsia"/>
          <w:szCs w:val="20"/>
          <w:lang w:val="en-US"/>
        </w:rPr>
        <w:t xml:space="preserve"> </w:t>
      </w:r>
      <w:r w:rsidR="00AB7A1A">
        <w:rPr>
          <w:rFonts w:eastAsiaTheme="minorEastAsia"/>
          <w:szCs w:val="20"/>
          <w:lang w:val="en-US"/>
        </w:rPr>
        <w:t>Some elements of this practice were subsequently</w:t>
      </w:r>
      <w:r w:rsidR="00961D01">
        <w:rPr>
          <w:rFonts w:eastAsiaTheme="minorEastAsia"/>
          <w:szCs w:val="20"/>
          <w:lang w:val="en-US"/>
        </w:rPr>
        <w:t xml:space="preserve"> </w:t>
      </w:r>
      <w:r w:rsidR="00AB7A1A">
        <w:rPr>
          <w:rFonts w:eastAsiaTheme="minorEastAsia"/>
          <w:szCs w:val="20"/>
          <w:lang w:val="en-US"/>
        </w:rPr>
        <w:t>adopted by rul</w:t>
      </w:r>
      <w:r w:rsidR="00AB7A1A">
        <w:rPr>
          <w:rFonts w:eastAsiaTheme="minorEastAsia"/>
          <w:szCs w:val="20"/>
          <w:lang w:val="en-US"/>
        </w:rPr>
        <w:lastRenderedPageBreak/>
        <w:t>ers of already well-established city-state</w:t>
      </w:r>
      <w:r w:rsidR="006A0955">
        <w:rPr>
          <w:rFonts w:eastAsiaTheme="minorEastAsia"/>
          <w:szCs w:val="20"/>
          <w:lang w:val="en-US"/>
        </w:rPr>
        <w:t xml:space="preserve">s in </w:t>
      </w:r>
      <w:r w:rsidR="00961D01">
        <w:rPr>
          <w:rFonts w:eastAsiaTheme="minorEastAsia"/>
          <w:szCs w:val="20"/>
          <w:lang w:val="en-US"/>
        </w:rPr>
        <w:t>S</w:t>
      </w:r>
      <w:r w:rsidR="006A6AD6" w:rsidRPr="006A6AD6">
        <w:rPr>
          <w:rFonts w:eastAsiaTheme="minorEastAsia"/>
          <w:szCs w:val="20"/>
          <w:lang w:val="en-US"/>
        </w:rPr>
        <w:t xml:space="preserve">outhern </w:t>
      </w:r>
      <w:r w:rsidR="00961D01">
        <w:rPr>
          <w:rFonts w:eastAsiaTheme="minorEastAsia"/>
          <w:szCs w:val="20"/>
          <w:lang w:val="en-US"/>
        </w:rPr>
        <w:t>Palestine</w:t>
      </w:r>
      <w:r w:rsidR="006A6AD6" w:rsidRPr="006A6AD6">
        <w:rPr>
          <w:rFonts w:eastAsiaTheme="minorEastAsia"/>
          <w:szCs w:val="20"/>
          <w:lang w:val="en-US"/>
        </w:rPr>
        <w:t xml:space="preserve">.  </w:t>
      </w:r>
      <w:r w:rsidR="00EB68B1">
        <w:rPr>
          <w:rFonts w:eastAsiaTheme="minorEastAsia"/>
          <w:szCs w:val="20"/>
          <w:lang w:val="en-US"/>
        </w:rPr>
        <w:t xml:space="preserve">This development </w:t>
      </w:r>
      <w:r w:rsidR="006A0955">
        <w:rPr>
          <w:rFonts w:eastAsiaTheme="minorEastAsia"/>
          <w:szCs w:val="20"/>
          <w:lang w:val="en-US"/>
        </w:rPr>
        <w:t xml:space="preserve">is comparable </w:t>
      </w:r>
      <w:r w:rsidR="009C27E3">
        <w:rPr>
          <w:rFonts w:eastAsiaTheme="minorEastAsia"/>
          <w:szCs w:val="20"/>
          <w:lang w:val="en-US"/>
        </w:rPr>
        <w:t>to</w:t>
      </w:r>
      <w:r w:rsidR="00EB68B1">
        <w:rPr>
          <w:rFonts w:eastAsiaTheme="minorEastAsia"/>
          <w:szCs w:val="20"/>
          <w:lang w:val="en-US"/>
        </w:rPr>
        <w:t xml:space="preserve"> what occurred at Byblos </w:t>
      </w:r>
      <w:r w:rsidR="001C7AF0">
        <w:rPr>
          <w:rFonts w:eastAsiaTheme="minorEastAsia"/>
          <w:szCs w:val="20"/>
          <w:lang w:val="en-US"/>
        </w:rPr>
        <w:t xml:space="preserve">when rulers there </w:t>
      </w:r>
      <w:r w:rsidR="008472DD">
        <w:rPr>
          <w:rFonts w:eastAsiaTheme="minorEastAsia"/>
          <w:szCs w:val="20"/>
          <w:lang w:val="en-US"/>
        </w:rPr>
        <w:t>beg</w:t>
      </w:r>
      <w:r w:rsidR="006A0955">
        <w:rPr>
          <w:rFonts w:eastAsiaTheme="minorEastAsia"/>
          <w:szCs w:val="20"/>
          <w:lang w:val="en-US"/>
        </w:rPr>
        <w:t>a</w:t>
      </w:r>
      <w:r w:rsidR="008472DD">
        <w:rPr>
          <w:rFonts w:eastAsiaTheme="minorEastAsia"/>
          <w:szCs w:val="20"/>
          <w:lang w:val="en-US"/>
        </w:rPr>
        <w:t>n</w:t>
      </w:r>
      <w:r w:rsidR="006A0955" w:rsidRPr="006A0955">
        <w:rPr>
          <w:rFonts w:eastAsiaTheme="minorEastAsia"/>
          <w:szCs w:val="20"/>
          <w:lang w:val="en-US"/>
        </w:rPr>
        <w:t xml:space="preserve"> </w:t>
      </w:r>
      <w:r w:rsidR="006A0955" w:rsidRPr="001C7AF0">
        <w:rPr>
          <w:rFonts w:eastAsiaTheme="minorEastAsia"/>
          <w:szCs w:val="20"/>
          <w:lang w:val="en-US"/>
        </w:rPr>
        <w:t>enclos</w:t>
      </w:r>
      <w:r w:rsidR="006A0955">
        <w:rPr>
          <w:rFonts w:eastAsiaTheme="minorEastAsia"/>
          <w:szCs w:val="20"/>
          <w:lang w:val="en-US"/>
        </w:rPr>
        <w:t>ing</w:t>
      </w:r>
      <w:r w:rsidR="006A0955" w:rsidRPr="001C7AF0">
        <w:rPr>
          <w:rFonts w:eastAsiaTheme="minorEastAsia"/>
          <w:szCs w:val="20"/>
          <w:lang w:val="en-US"/>
        </w:rPr>
        <w:t xml:space="preserve"> their </w:t>
      </w:r>
      <w:r w:rsidR="006A0955">
        <w:rPr>
          <w:rFonts w:eastAsiaTheme="minorEastAsia"/>
          <w:szCs w:val="20"/>
          <w:lang w:val="en-US"/>
        </w:rPr>
        <w:t xml:space="preserve">hieroglyphic </w:t>
      </w:r>
      <w:r w:rsidR="006A0955" w:rsidRPr="001C7AF0">
        <w:rPr>
          <w:rFonts w:eastAsiaTheme="minorEastAsia"/>
          <w:szCs w:val="20"/>
          <w:lang w:val="en-US"/>
        </w:rPr>
        <w:t>names in cartouches</w:t>
      </w:r>
      <w:r w:rsidR="006A0955">
        <w:rPr>
          <w:rFonts w:eastAsiaTheme="minorEastAsia"/>
          <w:szCs w:val="20"/>
          <w:lang w:val="en-US"/>
        </w:rPr>
        <w:t xml:space="preserve"> and</w:t>
      </w:r>
      <w:r w:rsidR="00475EAA">
        <w:rPr>
          <w:rFonts w:eastAsiaTheme="minorEastAsia"/>
          <w:szCs w:val="20"/>
          <w:lang w:val="en-US"/>
        </w:rPr>
        <w:t xml:space="preserve"> </w:t>
      </w:r>
      <w:r w:rsidR="001C7AF0" w:rsidRPr="001C7AF0">
        <w:rPr>
          <w:rFonts w:eastAsiaTheme="minorEastAsia"/>
          <w:szCs w:val="20"/>
          <w:lang w:val="en-US"/>
        </w:rPr>
        <w:t>us</w:t>
      </w:r>
      <w:r w:rsidR="006A0955">
        <w:rPr>
          <w:rFonts w:eastAsiaTheme="minorEastAsia"/>
          <w:szCs w:val="20"/>
          <w:lang w:val="en-US"/>
        </w:rPr>
        <w:t>ing</w:t>
      </w:r>
      <w:r w:rsidR="001C47C2">
        <w:rPr>
          <w:rFonts w:eastAsiaTheme="minorEastAsia"/>
          <w:szCs w:val="20"/>
          <w:lang w:val="en-US"/>
        </w:rPr>
        <w:t xml:space="preserve"> Egyptian</w:t>
      </w:r>
      <w:r w:rsidR="001C47C2" w:rsidRPr="001C7AF0">
        <w:rPr>
          <w:rFonts w:eastAsiaTheme="minorEastAsia"/>
          <w:szCs w:val="20"/>
          <w:lang w:val="en-US"/>
        </w:rPr>
        <w:t xml:space="preserve"> </w:t>
      </w:r>
      <w:r w:rsidR="001C7AF0" w:rsidRPr="001C7AF0">
        <w:rPr>
          <w:rFonts w:eastAsiaTheme="minorEastAsia"/>
          <w:szCs w:val="20"/>
          <w:lang w:val="en-US"/>
        </w:rPr>
        <w:t>royal epithets</w:t>
      </w:r>
      <w:r w:rsidR="00C24E0C" w:rsidRPr="00C24E0C">
        <w:rPr>
          <w:rFonts w:cstheme="minorBidi"/>
        </w:rPr>
        <w:t xml:space="preserve"> </w:t>
      </w:r>
      <w:r w:rsidR="00C24E0C">
        <w:rPr>
          <w:rFonts w:cstheme="minorBidi"/>
        </w:rPr>
        <w:t>about the same time</w:t>
      </w:r>
      <w:r w:rsidR="00EB68B1">
        <w:rPr>
          <w:rFonts w:eastAsiaTheme="minorEastAsia"/>
          <w:szCs w:val="20"/>
          <w:lang w:val="en-US"/>
        </w:rPr>
        <w:t>.</w:t>
      </w:r>
      <w:r w:rsidR="00F75C7F">
        <w:rPr>
          <w:rStyle w:val="FootnoteReference"/>
          <w:rFonts w:eastAsiaTheme="minorEastAsia"/>
          <w:szCs w:val="20"/>
          <w:lang w:val="en-US"/>
        </w:rPr>
        <w:footnoteReference w:id="40"/>
      </w:r>
      <w:r w:rsidR="00EB68B1">
        <w:rPr>
          <w:rFonts w:eastAsiaTheme="minorEastAsia"/>
          <w:szCs w:val="20"/>
          <w:lang w:val="en-US"/>
        </w:rPr>
        <w:t xml:space="preserve">  </w:t>
      </w:r>
      <w:r w:rsidR="00C43B4D">
        <w:rPr>
          <w:rFonts w:eastAsiaTheme="minorEastAsia"/>
          <w:szCs w:val="20"/>
          <w:lang w:val="en-US"/>
        </w:rPr>
        <w:t xml:space="preserve">A concomitant amuletic function need not be ruled out.  </w:t>
      </w:r>
    </w:p>
    <w:p w14:paraId="6917E516" w14:textId="77777777" w:rsidR="007239DC" w:rsidRDefault="007239DC" w:rsidP="00162B8B">
      <w:pPr>
        <w:spacing w:after="0" w:line="240" w:lineRule="auto"/>
        <w:rPr>
          <w:rFonts w:eastAsiaTheme="minorEastAsia"/>
          <w:szCs w:val="20"/>
          <w:lang w:val="en-US"/>
        </w:rPr>
      </w:pPr>
    </w:p>
    <w:p w14:paraId="52F7D877" w14:textId="04CFE837" w:rsidR="00AA776A" w:rsidRPr="00907082" w:rsidRDefault="004D5A25" w:rsidP="00907082">
      <w:pPr>
        <w:spacing w:after="0" w:line="240" w:lineRule="auto"/>
        <w:rPr>
          <w:sz w:val="20"/>
          <w:szCs w:val="20"/>
          <w:lang w:val="en-US"/>
        </w:rPr>
      </w:pPr>
      <w:r>
        <w:rPr>
          <w:rFonts w:eastAsiaTheme="minorEastAsia"/>
          <w:szCs w:val="20"/>
          <w:lang w:val="en-US"/>
        </w:rPr>
        <w:t xml:space="preserve">Follow-up NAA tests, especially of </w:t>
      </w:r>
      <w:r>
        <w:rPr>
          <w:szCs w:val="24"/>
        </w:rPr>
        <w:t>pottery</w:t>
      </w:r>
      <w:r w:rsidR="006A6AD6">
        <w:rPr>
          <w:szCs w:val="24"/>
        </w:rPr>
        <w:t xml:space="preserve"> vessels on which the sealings were used</w:t>
      </w:r>
      <w:r>
        <w:rPr>
          <w:szCs w:val="24"/>
        </w:rPr>
        <w:t xml:space="preserve"> (e.g.,</w:t>
      </w:r>
      <w:r w:rsidR="006A6AD6">
        <w:rPr>
          <w:szCs w:val="24"/>
        </w:rPr>
        <w:t xml:space="preserve"> the stoppered juglet</w:t>
      </w:r>
      <w:r w:rsidR="007A3335">
        <w:rPr>
          <w:szCs w:val="24"/>
        </w:rPr>
        <w:t>)</w:t>
      </w:r>
      <w:r>
        <w:rPr>
          <w:szCs w:val="24"/>
        </w:rPr>
        <w:t>, are needed to further clarify</w:t>
      </w:r>
      <w:r w:rsidR="001D510D">
        <w:rPr>
          <w:szCs w:val="24"/>
        </w:rPr>
        <w:t xml:space="preserve"> the purposes</w:t>
      </w:r>
      <w:r w:rsidR="00001898">
        <w:rPr>
          <w:szCs w:val="24"/>
        </w:rPr>
        <w:t xml:space="preserve">, </w:t>
      </w:r>
      <w:r w:rsidR="001D510D">
        <w:rPr>
          <w:szCs w:val="24"/>
        </w:rPr>
        <w:t>origin</w:t>
      </w:r>
      <w:r w:rsidR="00001898">
        <w:rPr>
          <w:szCs w:val="24"/>
        </w:rPr>
        <w:t>s, and the extent of this administrative system in Southern Palestine</w:t>
      </w:r>
      <w:r w:rsidR="001D510D">
        <w:rPr>
          <w:szCs w:val="24"/>
        </w:rPr>
        <w:t>.</w:t>
      </w:r>
      <w:r w:rsidR="00162B8B">
        <w:rPr>
          <w:szCs w:val="24"/>
        </w:rPr>
        <w:t xml:space="preserve">  </w:t>
      </w:r>
      <w:r w:rsidR="007239DC">
        <w:rPr>
          <w:szCs w:val="24"/>
        </w:rPr>
        <w:t xml:space="preserve">Organic residue analysis </w:t>
      </w:r>
      <w:bookmarkStart w:id="48" w:name="_Hlk9139414"/>
      <w:r w:rsidR="006179D0">
        <w:rPr>
          <w:szCs w:val="24"/>
        </w:rPr>
        <w:t>should be carried out</w:t>
      </w:r>
      <w:r w:rsidR="007239DC">
        <w:rPr>
          <w:szCs w:val="24"/>
        </w:rPr>
        <w:t xml:space="preserve"> </w:t>
      </w:r>
      <w:bookmarkEnd w:id="48"/>
      <w:r w:rsidR="007239DC">
        <w:rPr>
          <w:szCs w:val="24"/>
        </w:rPr>
        <w:t xml:space="preserve">to determine </w:t>
      </w:r>
      <w:r w:rsidR="00162B8B">
        <w:rPr>
          <w:szCs w:val="24"/>
        </w:rPr>
        <w:t>what the vessels contained.</w:t>
      </w:r>
      <w:r w:rsidR="00C43B4D">
        <w:rPr>
          <w:szCs w:val="24"/>
        </w:rPr>
        <w:t xml:space="preserve">  </w:t>
      </w:r>
      <w:r w:rsidR="00782EA6">
        <w:rPr>
          <w:rFonts w:cstheme="minorBidi"/>
        </w:rPr>
        <w:t>The question also remains whether such hypothesized administrative practices continued into Hyksos times in Southern Palestine.</w:t>
      </w:r>
    </w:p>
    <w:bookmarkEnd w:id="47"/>
    <w:p w14:paraId="4A02FF50" w14:textId="77777777" w:rsidR="00AA776A" w:rsidRPr="00907082" w:rsidRDefault="00AA776A" w:rsidP="00D52718">
      <w:pPr>
        <w:spacing w:after="0"/>
        <w:rPr>
          <w:sz w:val="20"/>
          <w:szCs w:val="20"/>
          <w:lang w:val="en-US"/>
        </w:rPr>
      </w:pPr>
    </w:p>
    <w:p w14:paraId="717AFAD9" w14:textId="0EFCD86E" w:rsidR="00253C22" w:rsidRDefault="006822C4" w:rsidP="00CF3783">
      <w:pPr>
        <w:widowControl w:val="0"/>
        <w:autoSpaceDE w:val="0"/>
        <w:autoSpaceDN w:val="0"/>
        <w:adjustRightInd w:val="0"/>
        <w:spacing w:after="0" w:line="240" w:lineRule="auto"/>
        <w:rPr>
          <w:rFonts w:eastAsiaTheme="minorEastAsia"/>
          <w:szCs w:val="20"/>
          <w:lang w:val="en-US"/>
        </w:rPr>
      </w:pPr>
      <w:r>
        <w:rPr>
          <w:rFonts w:eastAsiaTheme="minorEastAsia"/>
          <w:szCs w:val="20"/>
          <w:lang w:val="en-US"/>
        </w:rPr>
        <w:t>As an aside, t</w:t>
      </w:r>
      <w:r w:rsidR="00253C22" w:rsidRPr="007E1F4F">
        <w:rPr>
          <w:rFonts w:eastAsiaTheme="minorEastAsia"/>
          <w:szCs w:val="20"/>
          <w:lang w:val="en-US"/>
        </w:rPr>
        <w:t>h</w:t>
      </w:r>
      <w:r w:rsidR="00253C22">
        <w:rPr>
          <w:rFonts w:eastAsiaTheme="minorEastAsia"/>
          <w:szCs w:val="20"/>
          <w:lang w:val="en-US"/>
        </w:rPr>
        <w:t>e</w:t>
      </w:r>
      <w:r w:rsidR="00253C22" w:rsidRPr="007E1F4F">
        <w:rPr>
          <w:rFonts w:eastAsiaTheme="minorEastAsia"/>
          <w:szCs w:val="20"/>
          <w:lang w:val="en-US"/>
        </w:rPr>
        <w:t xml:space="preserve"> “discover</w:t>
      </w:r>
      <w:r w:rsidR="00985060">
        <w:rPr>
          <w:rFonts w:eastAsiaTheme="minorEastAsia"/>
          <w:szCs w:val="20"/>
          <w:lang w:val="en-US"/>
        </w:rPr>
        <w:t>ers</w:t>
      </w:r>
      <w:r w:rsidR="00253C22" w:rsidRPr="007E1F4F">
        <w:rPr>
          <w:rFonts w:eastAsiaTheme="minorEastAsia"/>
          <w:szCs w:val="20"/>
          <w:lang w:val="en-US"/>
        </w:rPr>
        <w:t>”</w:t>
      </w:r>
      <w:r w:rsidR="00253C22">
        <w:rPr>
          <w:rFonts w:eastAsiaTheme="minorEastAsia"/>
          <w:szCs w:val="20"/>
          <w:lang w:val="en-US"/>
        </w:rPr>
        <w:t xml:space="preserve"> of major Egyptian-Southern Palestinian contacts in later MB IIA</w:t>
      </w:r>
      <w:r w:rsidR="00253C22" w:rsidRPr="007E1F4F">
        <w:rPr>
          <w:rFonts w:eastAsiaTheme="minorEastAsia"/>
          <w:szCs w:val="20"/>
          <w:lang w:val="en-US"/>
        </w:rPr>
        <w:t xml:space="preserve"> </w:t>
      </w:r>
      <w:r w:rsidR="009835F1">
        <w:rPr>
          <w:rFonts w:eastAsiaTheme="minorEastAsia"/>
          <w:szCs w:val="20"/>
          <w:lang w:val="en-US"/>
        </w:rPr>
        <w:t>deserve to be mentioned here</w:t>
      </w:r>
      <w:r w:rsidR="00253C22" w:rsidRPr="007E1F4F">
        <w:rPr>
          <w:rFonts w:eastAsiaTheme="minorEastAsia"/>
          <w:szCs w:val="20"/>
          <w:lang w:val="en-US"/>
        </w:rPr>
        <w:t xml:space="preserve">.  </w:t>
      </w:r>
      <w:r w:rsidR="00985060">
        <w:rPr>
          <w:rFonts w:eastAsiaTheme="minorEastAsia"/>
          <w:szCs w:val="20"/>
          <w:lang w:val="en-US"/>
        </w:rPr>
        <w:t>The hypothesis</w:t>
      </w:r>
      <w:r w:rsidR="00253C22" w:rsidRPr="007E1F4F">
        <w:rPr>
          <w:rFonts w:eastAsiaTheme="minorEastAsia"/>
          <w:szCs w:val="20"/>
          <w:lang w:val="en-US"/>
        </w:rPr>
        <w:t xml:space="preserve"> was initially proposed by Dr. James Weinstein in his 1981 article,</w:t>
      </w:r>
      <w:r w:rsidR="00253C22" w:rsidRPr="007E1F4F">
        <w:rPr>
          <w:rFonts w:eastAsiaTheme="minorEastAsia"/>
          <w:szCs w:val="20"/>
          <w:vertAlign w:val="superscript"/>
          <w:lang w:val="en-US"/>
        </w:rPr>
        <w:footnoteReference w:id="41"/>
      </w:r>
      <w:r w:rsidR="00253C22" w:rsidRPr="007E1F4F">
        <w:rPr>
          <w:rFonts w:eastAsiaTheme="minorEastAsia"/>
          <w:szCs w:val="20"/>
          <w:lang w:val="en-US"/>
        </w:rPr>
        <w:t xml:space="preserve"> based on royal-name Hyksos scarabs that were concentrated in the southern Levant during MB IIB-IIC, but non-existent in the northern Levant.  Dr. Garman Harbottle and I came to the same conclusion in October 1988, based on the NAA data.   It should be noted that Dr. Weinstein argued for a “Hyksos” area south of the Jezreel Valley, while the NAA results restricted it to the Gaza group of MBA sites (“Southern Palestine”).</w:t>
      </w:r>
    </w:p>
    <w:p w14:paraId="645125D1" w14:textId="77777777" w:rsidR="00301944" w:rsidRDefault="00301944" w:rsidP="0059317C">
      <w:pPr>
        <w:widowControl w:val="0"/>
        <w:autoSpaceDE w:val="0"/>
        <w:autoSpaceDN w:val="0"/>
        <w:adjustRightInd w:val="0"/>
        <w:spacing w:after="0" w:line="240" w:lineRule="auto"/>
        <w:rPr>
          <w:rFonts w:eastAsiaTheme="minorEastAsia"/>
          <w:szCs w:val="20"/>
          <w:lang w:val="en-US"/>
        </w:rPr>
      </w:pPr>
    </w:p>
    <w:p w14:paraId="3D5DF047" w14:textId="46FDE7B4" w:rsidR="00E27C58" w:rsidRPr="0059317C" w:rsidRDefault="00170B5D" w:rsidP="005125F6">
      <w:pPr>
        <w:widowControl w:val="0"/>
        <w:autoSpaceDE w:val="0"/>
        <w:autoSpaceDN w:val="0"/>
        <w:adjustRightInd w:val="0"/>
        <w:spacing w:after="0" w:line="240" w:lineRule="auto"/>
        <w:rPr>
          <w:rFonts w:eastAsiaTheme="minorEastAsia"/>
          <w:szCs w:val="20"/>
          <w:lang w:val="en-US"/>
        </w:rPr>
      </w:pPr>
      <w:r>
        <w:rPr>
          <w:rFonts w:eastAsiaTheme="minorEastAsia"/>
          <w:szCs w:val="20"/>
          <w:lang w:val="en-US"/>
        </w:rPr>
        <w:t xml:space="preserve">More time is clearly needed for </w:t>
      </w:r>
      <w:r w:rsidR="007174AA">
        <w:rPr>
          <w:rFonts w:eastAsiaTheme="minorEastAsia"/>
          <w:szCs w:val="20"/>
          <w:lang w:val="en-US"/>
        </w:rPr>
        <w:t xml:space="preserve">a final resolution of the </w:t>
      </w:r>
      <w:r w:rsidR="00253C22">
        <w:rPr>
          <w:rFonts w:eastAsiaTheme="minorEastAsia"/>
          <w:szCs w:val="20"/>
          <w:lang w:val="en-US"/>
        </w:rPr>
        <w:t xml:space="preserve">NAA-petrography </w:t>
      </w:r>
      <w:r w:rsidR="007174AA">
        <w:rPr>
          <w:rFonts w:eastAsiaTheme="minorEastAsia"/>
          <w:szCs w:val="20"/>
          <w:lang w:val="en-US"/>
        </w:rPr>
        <w:t>debate</w:t>
      </w:r>
      <w:r w:rsidR="00064BA9" w:rsidRPr="0059317C">
        <w:rPr>
          <w:rFonts w:eastAsiaTheme="minorEastAsia"/>
          <w:szCs w:val="20"/>
          <w:lang w:val="en-US"/>
        </w:rPr>
        <w:t xml:space="preserve">.  </w:t>
      </w:r>
      <w:r w:rsidR="007174AA">
        <w:rPr>
          <w:rFonts w:eastAsiaTheme="minorEastAsia"/>
          <w:szCs w:val="20"/>
          <w:lang w:val="en-US"/>
        </w:rPr>
        <w:t>New findings</w:t>
      </w:r>
      <w:r w:rsidR="003A6DF5">
        <w:rPr>
          <w:rFonts w:eastAsiaTheme="minorEastAsia"/>
          <w:szCs w:val="20"/>
          <w:lang w:val="en-US"/>
        </w:rPr>
        <w:t xml:space="preserve"> have begun to</w:t>
      </w:r>
      <w:r w:rsidR="00064BA9" w:rsidRPr="0059317C">
        <w:rPr>
          <w:rFonts w:eastAsiaTheme="minorEastAsia"/>
          <w:szCs w:val="20"/>
          <w:lang w:val="en-US"/>
        </w:rPr>
        <w:t xml:space="preserve"> </w:t>
      </w:r>
      <w:r w:rsidR="007174AA">
        <w:rPr>
          <w:rFonts w:eastAsiaTheme="minorEastAsia"/>
          <w:szCs w:val="20"/>
          <w:lang w:val="en-US"/>
        </w:rPr>
        <w:t xml:space="preserve">go counter to Goren’s petrographic results, </w:t>
      </w:r>
      <w:r w:rsidR="003A6DF5">
        <w:rPr>
          <w:rFonts w:eastAsiaTheme="minorEastAsia"/>
          <w:szCs w:val="20"/>
          <w:lang w:val="en-US"/>
        </w:rPr>
        <w:t xml:space="preserve">specifically </w:t>
      </w:r>
      <w:r w:rsidR="00064BA9" w:rsidRPr="0059317C">
        <w:rPr>
          <w:rFonts w:eastAsiaTheme="minorEastAsia"/>
          <w:szCs w:val="20"/>
          <w:lang w:val="en-US"/>
        </w:rPr>
        <w:t>Goren’s provenancing</w:t>
      </w:r>
      <w:r w:rsidR="007347F8">
        <w:rPr>
          <w:rFonts w:eastAsiaTheme="minorEastAsia"/>
          <w:szCs w:val="20"/>
          <w:lang w:val="en-US"/>
        </w:rPr>
        <w:t xml:space="preserve"> of</w:t>
      </w:r>
      <w:r w:rsidR="00064BA9" w:rsidRPr="0059317C">
        <w:rPr>
          <w:rFonts w:eastAsiaTheme="minorEastAsia"/>
          <w:szCs w:val="20"/>
          <w:lang w:val="en-US"/>
        </w:rPr>
        <w:t xml:space="preserve"> the Scorpion I wine jars to a local Egyptian clay sourc</w:t>
      </w:r>
      <w:r w:rsidR="00C362FD">
        <w:rPr>
          <w:rFonts w:eastAsiaTheme="minorEastAsia"/>
          <w:szCs w:val="20"/>
          <w:lang w:val="en-US"/>
        </w:rPr>
        <w:t>e.</w:t>
      </w:r>
      <w:r w:rsidR="00C362FD" w:rsidRPr="00C362FD">
        <w:rPr>
          <w:rFonts w:eastAsiaTheme="minorEastAsia"/>
          <w:sz w:val="20"/>
          <w:szCs w:val="20"/>
          <w:vertAlign w:val="superscript"/>
          <w:lang w:val="en-US"/>
        </w:rPr>
        <w:fldChar w:fldCharType="begin"/>
      </w:r>
      <w:r w:rsidR="00C362FD" w:rsidRPr="00C362FD">
        <w:rPr>
          <w:rFonts w:eastAsiaTheme="minorEastAsia"/>
          <w:sz w:val="20"/>
          <w:szCs w:val="20"/>
          <w:vertAlign w:val="superscript"/>
          <w:lang w:val="en-US"/>
        </w:rPr>
        <w:instrText xml:space="preserve"> NOTEREF _Ref7084482 </w:instrText>
      </w:r>
      <w:r w:rsidR="00C362FD">
        <w:rPr>
          <w:rFonts w:eastAsiaTheme="minorEastAsia"/>
          <w:sz w:val="20"/>
          <w:szCs w:val="20"/>
          <w:vertAlign w:val="superscript"/>
          <w:lang w:val="en-US"/>
        </w:rPr>
        <w:instrText xml:space="preserve"> \* MERGEFORMAT </w:instrText>
      </w:r>
      <w:r w:rsidR="00C362FD" w:rsidRPr="00C362FD">
        <w:rPr>
          <w:rFonts w:eastAsiaTheme="minorEastAsia"/>
          <w:sz w:val="20"/>
          <w:szCs w:val="20"/>
          <w:vertAlign w:val="superscript"/>
          <w:lang w:val="en-US"/>
        </w:rPr>
        <w:fldChar w:fldCharType="separate"/>
      </w:r>
      <w:r w:rsidR="00C362FD" w:rsidRPr="00C362FD">
        <w:rPr>
          <w:rFonts w:eastAsiaTheme="minorEastAsia"/>
          <w:sz w:val="20"/>
          <w:szCs w:val="20"/>
          <w:vertAlign w:val="superscript"/>
          <w:lang w:val="en-US"/>
        </w:rPr>
        <w:t>25</w:t>
      </w:r>
      <w:r w:rsidR="00C362FD" w:rsidRPr="00C362FD">
        <w:rPr>
          <w:rFonts w:eastAsiaTheme="minorEastAsia"/>
          <w:sz w:val="20"/>
          <w:szCs w:val="20"/>
          <w:vertAlign w:val="superscript"/>
          <w:lang w:val="en-US"/>
        </w:rPr>
        <w:fldChar w:fldCharType="end"/>
      </w:r>
      <w:r w:rsidR="00C362FD">
        <w:rPr>
          <w:rFonts w:eastAsiaTheme="minorEastAsia"/>
          <w:szCs w:val="20"/>
          <w:lang w:val="en-US"/>
        </w:rPr>
        <w:t xml:space="preserve">  </w:t>
      </w:r>
      <w:r w:rsidR="009456B2">
        <w:rPr>
          <w:rFonts w:eastAsiaTheme="minorEastAsia"/>
          <w:szCs w:val="20"/>
          <w:lang w:val="en-US"/>
        </w:rPr>
        <w:t xml:space="preserve">The Addendum to this Appendix </w:t>
      </w:r>
      <w:r w:rsidR="006F37E2">
        <w:rPr>
          <w:rFonts w:eastAsiaTheme="minorEastAsia"/>
          <w:szCs w:val="20"/>
          <w:lang w:val="en-US"/>
        </w:rPr>
        <w:t xml:space="preserve">catalogues numerous problems with his and his followers’ methodological approach to </w:t>
      </w:r>
      <w:r w:rsidR="006A6488">
        <w:rPr>
          <w:rFonts w:eastAsiaTheme="minorEastAsia"/>
          <w:szCs w:val="20"/>
          <w:lang w:val="en-US"/>
        </w:rPr>
        <w:t>p</w:t>
      </w:r>
      <w:r w:rsidR="006A6488" w:rsidRPr="006A6488">
        <w:rPr>
          <w:rFonts w:eastAsiaTheme="minorEastAsia"/>
          <w:szCs w:val="20"/>
          <w:lang w:val="en-US"/>
        </w:rPr>
        <w:t>etrograph</w:t>
      </w:r>
      <w:r w:rsidR="006A6488">
        <w:rPr>
          <w:rFonts w:eastAsiaTheme="minorEastAsia"/>
          <w:szCs w:val="20"/>
          <w:lang w:val="en-US"/>
        </w:rPr>
        <w:t>y</w:t>
      </w:r>
      <w:r w:rsidR="006A6488" w:rsidRPr="006A6488">
        <w:rPr>
          <w:rFonts w:eastAsiaTheme="minorEastAsia"/>
          <w:szCs w:val="20"/>
          <w:lang w:val="en-US"/>
        </w:rPr>
        <w:t xml:space="preserve">, </w:t>
      </w:r>
      <w:r w:rsidR="006A6488">
        <w:rPr>
          <w:rFonts w:eastAsiaTheme="minorEastAsia"/>
          <w:szCs w:val="20"/>
          <w:lang w:val="en-US"/>
        </w:rPr>
        <w:t>g</w:t>
      </w:r>
      <w:r w:rsidR="006A6488" w:rsidRPr="006A6488">
        <w:rPr>
          <w:rFonts w:eastAsiaTheme="minorEastAsia"/>
          <w:szCs w:val="20"/>
          <w:lang w:val="en-US"/>
        </w:rPr>
        <w:t>eochemi</w:t>
      </w:r>
      <w:r w:rsidR="006A6488">
        <w:rPr>
          <w:rFonts w:eastAsiaTheme="minorEastAsia"/>
          <w:szCs w:val="20"/>
          <w:lang w:val="en-US"/>
        </w:rPr>
        <w:t>stry</w:t>
      </w:r>
      <w:r w:rsidR="006A6488" w:rsidRPr="006A6488">
        <w:rPr>
          <w:rFonts w:eastAsiaTheme="minorEastAsia"/>
          <w:szCs w:val="20"/>
          <w:lang w:val="en-US"/>
        </w:rPr>
        <w:t xml:space="preserve">, </w:t>
      </w:r>
      <w:r w:rsidR="006A6488">
        <w:rPr>
          <w:rFonts w:eastAsiaTheme="minorEastAsia"/>
          <w:szCs w:val="20"/>
          <w:lang w:val="en-US"/>
        </w:rPr>
        <w:t>g</w:t>
      </w:r>
      <w:r w:rsidR="006A6488" w:rsidRPr="006A6488">
        <w:rPr>
          <w:rFonts w:eastAsiaTheme="minorEastAsia"/>
          <w:szCs w:val="20"/>
          <w:lang w:val="en-US"/>
        </w:rPr>
        <w:t>eolog</w:t>
      </w:r>
      <w:r w:rsidR="006A6488">
        <w:rPr>
          <w:rFonts w:eastAsiaTheme="minorEastAsia"/>
          <w:szCs w:val="20"/>
          <w:lang w:val="en-US"/>
        </w:rPr>
        <w:t>y</w:t>
      </w:r>
      <w:r w:rsidR="006A6488" w:rsidRPr="006A6488">
        <w:rPr>
          <w:rFonts w:eastAsiaTheme="minorEastAsia"/>
          <w:szCs w:val="20"/>
          <w:lang w:val="en-US"/>
        </w:rPr>
        <w:t xml:space="preserve">, and </w:t>
      </w:r>
      <w:r w:rsidR="006A6488">
        <w:rPr>
          <w:rFonts w:eastAsiaTheme="minorEastAsia"/>
          <w:szCs w:val="20"/>
          <w:lang w:val="en-US"/>
        </w:rPr>
        <w:t>s</w:t>
      </w:r>
      <w:r w:rsidR="006A6488" w:rsidRPr="006A6488">
        <w:rPr>
          <w:rFonts w:eastAsiaTheme="minorEastAsia"/>
          <w:szCs w:val="20"/>
          <w:lang w:val="en-US"/>
        </w:rPr>
        <w:t>tatistic</w:t>
      </w:r>
      <w:r w:rsidR="006A6488">
        <w:rPr>
          <w:rFonts w:eastAsiaTheme="minorEastAsia"/>
          <w:szCs w:val="20"/>
          <w:lang w:val="en-US"/>
        </w:rPr>
        <w:t>s</w:t>
      </w:r>
      <w:r w:rsidR="009456B2">
        <w:rPr>
          <w:rFonts w:eastAsiaTheme="minorEastAsia"/>
          <w:szCs w:val="20"/>
          <w:lang w:val="en-US"/>
        </w:rPr>
        <w:t>.  Goren’s</w:t>
      </w:r>
      <w:r w:rsidR="00EC6C44">
        <w:rPr>
          <w:rFonts w:eastAsiaTheme="minorEastAsia"/>
          <w:szCs w:val="20"/>
          <w:lang w:val="en-US"/>
        </w:rPr>
        <w:t xml:space="preserve"> and Bietak’s</w:t>
      </w:r>
      <w:r w:rsidR="00C362FD">
        <w:rPr>
          <w:rFonts w:eastAsiaTheme="minorEastAsia"/>
          <w:szCs w:val="20"/>
          <w:lang w:val="en-US"/>
        </w:rPr>
        <w:t xml:space="preserve"> hypothesis of the importation of </w:t>
      </w:r>
      <w:r w:rsidR="00064BA9" w:rsidRPr="0059317C">
        <w:rPr>
          <w:rFonts w:eastAsiaTheme="minorEastAsia"/>
          <w:szCs w:val="20"/>
          <w:lang w:val="en-US"/>
        </w:rPr>
        <w:t xml:space="preserve">Middle Bronze IIB-IIC vessels </w:t>
      </w:r>
      <w:r w:rsidR="00C362FD" w:rsidRPr="0059317C">
        <w:rPr>
          <w:rFonts w:eastAsiaTheme="minorEastAsia"/>
          <w:szCs w:val="20"/>
          <w:lang w:val="en-US"/>
        </w:rPr>
        <w:t xml:space="preserve">from northern Levant </w:t>
      </w:r>
      <w:r w:rsidR="00C362FD">
        <w:rPr>
          <w:rFonts w:eastAsiaTheme="minorEastAsia"/>
          <w:szCs w:val="20"/>
          <w:lang w:val="en-US"/>
        </w:rPr>
        <w:t>to</w:t>
      </w:r>
      <w:r w:rsidR="00064BA9" w:rsidRPr="0059317C">
        <w:rPr>
          <w:rFonts w:eastAsiaTheme="minorEastAsia"/>
          <w:szCs w:val="20"/>
          <w:lang w:val="en-US"/>
        </w:rPr>
        <w:t xml:space="preserve"> Dab`a </w:t>
      </w:r>
      <w:r w:rsidR="00BC0B5F">
        <w:rPr>
          <w:rFonts w:eastAsiaTheme="minorEastAsia"/>
          <w:szCs w:val="20"/>
          <w:lang w:val="en-US"/>
        </w:rPr>
        <w:t>should eventually col</w:t>
      </w:r>
      <w:r w:rsidR="00BC0B5F">
        <w:rPr>
          <w:rFonts w:eastAsiaTheme="minorEastAsia"/>
          <w:szCs w:val="20"/>
          <w:lang w:val="en-US"/>
        </w:rPr>
        <w:lastRenderedPageBreak/>
        <w:t>lapse</w:t>
      </w:r>
      <w:r w:rsidR="00064BA9" w:rsidRPr="0059317C">
        <w:rPr>
          <w:rFonts w:eastAsiaTheme="minorEastAsia"/>
          <w:szCs w:val="20"/>
          <w:lang w:val="en-US"/>
        </w:rPr>
        <w:t xml:space="preserve">. </w:t>
      </w:r>
      <w:r w:rsidR="00EE0200">
        <w:rPr>
          <w:rFonts w:eastAsiaTheme="minorEastAsia"/>
          <w:szCs w:val="20"/>
          <w:lang w:val="en-US"/>
        </w:rPr>
        <w:t xml:space="preserve"> </w:t>
      </w:r>
      <w:r w:rsidR="00BC0B5F">
        <w:rPr>
          <w:rFonts w:eastAsiaTheme="minorEastAsia"/>
          <w:szCs w:val="20"/>
          <w:lang w:val="en-US"/>
        </w:rPr>
        <w:t xml:space="preserve">An </w:t>
      </w:r>
      <w:r w:rsidR="003B3138">
        <w:rPr>
          <w:rFonts w:eastAsiaTheme="minorEastAsia"/>
          <w:szCs w:val="20"/>
          <w:lang w:val="en-US"/>
        </w:rPr>
        <w:t xml:space="preserve">independent, </w:t>
      </w:r>
      <w:r w:rsidR="00BC0B5F">
        <w:rPr>
          <w:rFonts w:eastAsiaTheme="minorEastAsia"/>
          <w:szCs w:val="20"/>
          <w:lang w:val="en-US"/>
        </w:rPr>
        <w:t xml:space="preserve">objective observer </w:t>
      </w:r>
      <w:r w:rsidR="006A6488">
        <w:rPr>
          <w:rFonts w:eastAsiaTheme="minorEastAsia"/>
          <w:szCs w:val="20"/>
          <w:lang w:val="en-US"/>
        </w:rPr>
        <w:t xml:space="preserve">should </w:t>
      </w:r>
      <w:r w:rsidR="00723619">
        <w:rPr>
          <w:rFonts w:eastAsiaTheme="minorEastAsia"/>
          <w:szCs w:val="20"/>
          <w:lang w:val="en-US"/>
        </w:rPr>
        <w:t xml:space="preserve">now </w:t>
      </w:r>
      <w:r w:rsidR="003B3138">
        <w:rPr>
          <w:rFonts w:eastAsiaTheme="minorEastAsia"/>
          <w:szCs w:val="20"/>
          <w:lang w:val="en-US"/>
        </w:rPr>
        <w:t>be able to come to the conclusion</w:t>
      </w:r>
      <w:r w:rsidR="00723619">
        <w:rPr>
          <w:rFonts w:eastAsiaTheme="minorEastAsia"/>
          <w:szCs w:val="20"/>
          <w:lang w:val="en-US"/>
        </w:rPr>
        <w:t xml:space="preserve"> that</w:t>
      </w:r>
      <w:r w:rsidR="00064BA9" w:rsidRPr="0059317C">
        <w:rPr>
          <w:rFonts w:eastAsiaTheme="minorEastAsia"/>
          <w:szCs w:val="20"/>
          <w:lang w:val="en-US"/>
        </w:rPr>
        <w:t xml:space="preserve"> </w:t>
      </w:r>
      <w:r w:rsidR="00723619">
        <w:rPr>
          <w:rFonts w:eastAsiaTheme="minorEastAsia"/>
          <w:szCs w:val="20"/>
          <w:lang w:val="en-US"/>
        </w:rPr>
        <w:t xml:space="preserve">virtually </w:t>
      </w:r>
      <w:r w:rsidR="003B3138">
        <w:rPr>
          <w:rFonts w:eastAsiaTheme="minorEastAsia"/>
          <w:szCs w:val="20"/>
          <w:lang w:val="en-US"/>
        </w:rPr>
        <w:t>all the available evidence</w:t>
      </w:r>
      <w:r w:rsidR="00064BA9" w:rsidRPr="0059317C">
        <w:rPr>
          <w:rFonts w:eastAsiaTheme="minorEastAsia"/>
          <w:szCs w:val="20"/>
          <w:lang w:val="en-US"/>
        </w:rPr>
        <w:t>—</w:t>
      </w:r>
      <w:r w:rsidR="003B3138">
        <w:rPr>
          <w:rFonts w:eastAsiaTheme="minorEastAsia"/>
          <w:szCs w:val="20"/>
          <w:lang w:val="en-US"/>
        </w:rPr>
        <w:t xml:space="preserve">whether </w:t>
      </w:r>
      <w:r w:rsidR="00064BA9" w:rsidRPr="0059317C">
        <w:rPr>
          <w:rFonts w:eastAsiaTheme="minorEastAsia"/>
          <w:szCs w:val="20"/>
          <w:lang w:val="en-US"/>
        </w:rPr>
        <w:t>scarabs, burial custom</w:t>
      </w:r>
      <w:r w:rsidR="00D243FC" w:rsidRPr="0059317C">
        <w:rPr>
          <w:rFonts w:eastAsiaTheme="minorEastAsia"/>
          <w:szCs w:val="20"/>
          <w:lang w:val="en-US"/>
        </w:rPr>
        <w:t>s and artifacts</w:t>
      </w:r>
      <w:r w:rsidR="00064BA9" w:rsidRPr="0059317C">
        <w:rPr>
          <w:rFonts w:eastAsiaTheme="minorEastAsia"/>
          <w:szCs w:val="20"/>
          <w:lang w:val="en-US"/>
        </w:rPr>
        <w:t>, etc</w:t>
      </w:r>
      <w:r w:rsidR="00723619">
        <w:rPr>
          <w:rFonts w:eastAsiaTheme="minorEastAsia"/>
          <w:szCs w:val="20"/>
          <w:lang w:val="en-US"/>
        </w:rPr>
        <w:t>.,</w:t>
      </w:r>
      <w:r w:rsidR="00723619" w:rsidRPr="00723619">
        <w:rPr>
          <w:rFonts w:eastAsiaTheme="minorEastAsia"/>
          <w:szCs w:val="20"/>
          <w:lang w:val="en-US"/>
        </w:rPr>
        <w:t xml:space="preserve"> </w:t>
      </w:r>
      <w:r w:rsidR="00723619" w:rsidRPr="0059317C">
        <w:rPr>
          <w:rFonts w:eastAsiaTheme="minorEastAsia"/>
          <w:szCs w:val="20"/>
          <w:lang w:val="en-US"/>
        </w:rPr>
        <w:t>but particularly the NAA evidence</w:t>
      </w:r>
      <w:r w:rsidR="00064BA9" w:rsidRPr="0059317C">
        <w:rPr>
          <w:rFonts w:eastAsiaTheme="minorEastAsia"/>
          <w:szCs w:val="20"/>
          <w:lang w:val="en-US"/>
        </w:rPr>
        <w:t xml:space="preserve">— points to very close connections </w:t>
      </w:r>
      <w:r w:rsidR="00723619">
        <w:rPr>
          <w:rFonts w:eastAsiaTheme="minorEastAsia"/>
          <w:szCs w:val="20"/>
          <w:lang w:val="en-US"/>
        </w:rPr>
        <w:t>between Tell el-Dab`a and</w:t>
      </w:r>
      <w:r w:rsidR="00064BA9" w:rsidRPr="0059317C">
        <w:rPr>
          <w:rFonts w:eastAsiaTheme="minorEastAsia"/>
          <w:szCs w:val="20"/>
          <w:lang w:val="en-US"/>
        </w:rPr>
        <w:t xml:space="preserve"> </w:t>
      </w:r>
      <w:r w:rsidR="00D243FC" w:rsidRPr="0059317C">
        <w:rPr>
          <w:rFonts w:eastAsiaTheme="minorEastAsia"/>
          <w:b/>
          <w:szCs w:val="20"/>
          <w:lang w:val="en-US"/>
        </w:rPr>
        <w:t>only</w:t>
      </w:r>
      <w:r w:rsidR="00064BA9" w:rsidRPr="0059317C">
        <w:rPr>
          <w:rFonts w:eastAsiaTheme="minorEastAsia"/>
          <w:szCs w:val="20"/>
          <w:lang w:val="en-US"/>
        </w:rPr>
        <w:t xml:space="preserve"> Southern Palestine during the Hyksos period.</w:t>
      </w:r>
    </w:p>
    <w:bookmarkEnd w:id="44"/>
    <w:bookmarkEnd w:id="45"/>
    <w:p w14:paraId="57D7B2CD" w14:textId="77777777" w:rsidR="00064BA9" w:rsidRPr="0059317C" w:rsidRDefault="00064BA9" w:rsidP="005125F6">
      <w:pPr>
        <w:widowControl w:val="0"/>
        <w:autoSpaceDE w:val="0"/>
        <w:autoSpaceDN w:val="0"/>
        <w:adjustRightInd w:val="0"/>
        <w:spacing w:after="0" w:line="240" w:lineRule="auto"/>
        <w:rPr>
          <w:rFonts w:eastAsiaTheme="minorEastAsia"/>
          <w:szCs w:val="20"/>
          <w:lang w:val="en-US"/>
        </w:rPr>
      </w:pPr>
    </w:p>
    <w:p w14:paraId="43CB93B3" w14:textId="2CEAE0FD" w:rsidR="00F14A2F" w:rsidRDefault="001A2759" w:rsidP="005125F6">
      <w:pPr>
        <w:widowControl w:val="0"/>
        <w:autoSpaceDE w:val="0"/>
        <w:autoSpaceDN w:val="0"/>
        <w:adjustRightInd w:val="0"/>
        <w:spacing w:after="0" w:line="240" w:lineRule="auto"/>
        <w:rPr>
          <w:rFonts w:eastAsiaTheme="minorEastAsia"/>
          <w:szCs w:val="20"/>
          <w:lang w:val="en-US"/>
        </w:rPr>
      </w:pPr>
      <w:r w:rsidRPr="001A2759">
        <w:rPr>
          <w:rFonts w:eastAsiaTheme="minorEastAsia"/>
          <w:szCs w:val="20"/>
          <w:lang w:val="en-US"/>
        </w:rPr>
        <w:t xml:space="preserve">Now, having </w:t>
      </w:r>
      <w:r w:rsidR="00403018">
        <w:rPr>
          <w:rFonts w:eastAsiaTheme="minorEastAsia"/>
          <w:szCs w:val="20"/>
          <w:lang w:val="en-US"/>
        </w:rPr>
        <w:t xml:space="preserve">seemingly </w:t>
      </w:r>
      <w:r w:rsidRPr="001A2759">
        <w:rPr>
          <w:rFonts w:eastAsiaTheme="minorEastAsia"/>
          <w:szCs w:val="20"/>
          <w:lang w:val="en-US"/>
        </w:rPr>
        <w:t xml:space="preserve">reached the twilight of my career, a fortuitous series of events led to my delving once again into the quagmire of archaeological debate to produce a final “swan song” on the Hyksos.  </w:t>
      </w:r>
      <w:r w:rsidR="00921594">
        <w:rPr>
          <w:rFonts w:eastAsiaTheme="minorEastAsia"/>
          <w:szCs w:val="20"/>
          <w:lang w:val="en-US"/>
        </w:rPr>
        <w:t xml:space="preserve">The initial impetus came </w:t>
      </w:r>
      <w:r w:rsidR="001C099D">
        <w:rPr>
          <w:rFonts w:eastAsiaTheme="minorEastAsia"/>
          <w:szCs w:val="20"/>
          <w:lang w:val="en-US"/>
        </w:rPr>
        <w:t xml:space="preserve">from </w:t>
      </w:r>
      <w:r w:rsidR="00F14A2F">
        <w:rPr>
          <w:rFonts w:eastAsiaTheme="minorEastAsia"/>
          <w:szCs w:val="20"/>
          <w:lang w:val="en-US"/>
        </w:rPr>
        <w:t>lectures I gave for Harvard College and its Fogg Museum in October 2018 that provided me the opportunity to examine archaeological artifacts that I had previously analyzed in the Semitic Museum storerooms.   In digging back through my correspondence with Dr. Stager, I also came across some previously unpublished NAA results for Ashkelon, which included the moat sealings</w:t>
      </w:r>
      <w:r w:rsidR="00985060">
        <w:rPr>
          <w:rFonts w:eastAsiaTheme="minorEastAsia"/>
          <w:szCs w:val="20"/>
          <w:lang w:val="en-US"/>
        </w:rPr>
        <w:t xml:space="preserve"> and the testing of the Southern Palestine working hypothesis</w:t>
      </w:r>
      <w:r w:rsidR="00F14A2F">
        <w:rPr>
          <w:rFonts w:eastAsiaTheme="minorEastAsia"/>
          <w:szCs w:val="20"/>
          <w:lang w:val="en-US"/>
        </w:rPr>
        <w:t>, discussed above</w:t>
      </w:r>
      <w:r w:rsidR="00985060">
        <w:rPr>
          <w:rFonts w:eastAsiaTheme="minorEastAsia"/>
          <w:szCs w:val="20"/>
          <w:lang w:val="en-US"/>
        </w:rPr>
        <w:t>.</w:t>
      </w:r>
    </w:p>
    <w:p w14:paraId="109C7064" w14:textId="77777777" w:rsidR="00F14A2F" w:rsidRDefault="00F14A2F" w:rsidP="005125F6">
      <w:pPr>
        <w:widowControl w:val="0"/>
        <w:autoSpaceDE w:val="0"/>
        <w:autoSpaceDN w:val="0"/>
        <w:adjustRightInd w:val="0"/>
        <w:spacing w:after="0" w:line="240" w:lineRule="auto"/>
        <w:rPr>
          <w:rFonts w:eastAsiaTheme="minorEastAsia"/>
          <w:szCs w:val="20"/>
          <w:lang w:val="en-US"/>
        </w:rPr>
      </w:pPr>
    </w:p>
    <w:p w14:paraId="4A1687BC" w14:textId="12549394" w:rsidR="00753BEB" w:rsidRDefault="00985060" w:rsidP="005125F6">
      <w:pPr>
        <w:widowControl w:val="0"/>
        <w:autoSpaceDE w:val="0"/>
        <w:autoSpaceDN w:val="0"/>
        <w:adjustRightInd w:val="0"/>
        <w:spacing w:after="0" w:line="240" w:lineRule="auto"/>
        <w:rPr>
          <w:rFonts w:eastAsiaTheme="minorEastAsia"/>
          <w:szCs w:val="20"/>
          <w:lang w:val="en-US"/>
        </w:rPr>
      </w:pPr>
      <w:r>
        <w:rPr>
          <w:rFonts w:eastAsiaTheme="minorEastAsia"/>
          <w:szCs w:val="20"/>
          <w:lang w:val="en-US"/>
        </w:rPr>
        <w:t>A second impetus that drew me back to the Hyksos question was when I found an unpublished manuscript by m</w:t>
      </w:r>
      <w:r w:rsidRPr="0059317C">
        <w:rPr>
          <w:rFonts w:eastAsiaTheme="minorEastAsia"/>
          <w:szCs w:val="20"/>
          <w:lang w:val="en-US"/>
        </w:rPr>
        <w:t xml:space="preserve">y </w:t>
      </w:r>
      <w:r>
        <w:rPr>
          <w:rFonts w:eastAsiaTheme="minorEastAsia"/>
          <w:szCs w:val="20"/>
          <w:lang w:val="en-US"/>
        </w:rPr>
        <w:t xml:space="preserve">doctoral </w:t>
      </w:r>
      <w:r w:rsidRPr="0059317C">
        <w:rPr>
          <w:rFonts w:eastAsiaTheme="minorEastAsia"/>
          <w:szCs w:val="20"/>
          <w:lang w:val="en-US"/>
        </w:rPr>
        <w:t xml:space="preserve">dissertation supervisor, Dr. Frances W. James, </w:t>
      </w:r>
      <w:r>
        <w:rPr>
          <w:rFonts w:eastAsiaTheme="minorEastAsia"/>
          <w:szCs w:val="20"/>
          <w:lang w:val="en-US"/>
        </w:rPr>
        <w:t xml:space="preserve">in the Penn Museum archives.  It included a discussion of the stratigraphic situation and finds of </w:t>
      </w:r>
      <w:r w:rsidRPr="0059317C">
        <w:rPr>
          <w:rFonts w:eastAsiaTheme="minorEastAsia"/>
          <w:szCs w:val="20"/>
          <w:lang w:val="en-US"/>
        </w:rPr>
        <w:t xml:space="preserve">a </w:t>
      </w:r>
      <w:r>
        <w:rPr>
          <w:rFonts w:eastAsiaTheme="minorEastAsia"/>
          <w:szCs w:val="20"/>
          <w:lang w:val="en-US"/>
        </w:rPr>
        <w:t>large</w:t>
      </w:r>
      <w:r w:rsidRPr="0059317C">
        <w:rPr>
          <w:rFonts w:eastAsiaTheme="minorEastAsia"/>
          <w:szCs w:val="20"/>
          <w:lang w:val="en-US"/>
        </w:rPr>
        <w:t xml:space="preserve"> MBA graveyard </w:t>
      </w:r>
      <w:r>
        <w:rPr>
          <w:rFonts w:eastAsiaTheme="minorEastAsia"/>
          <w:szCs w:val="20"/>
          <w:lang w:val="en-US"/>
        </w:rPr>
        <w:t xml:space="preserve">which </w:t>
      </w:r>
      <w:r w:rsidRPr="0059317C">
        <w:rPr>
          <w:rFonts w:eastAsiaTheme="minorEastAsia"/>
          <w:szCs w:val="20"/>
          <w:lang w:val="en-US"/>
        </w:rPr>
        <w:t>had been excavated by</w:t>
      </w:r>
      <w:r w:rsidRPr="0059317C">
        <w:t xml:space="preserve"> </w:t>
      </w:r>
      <w:r w:rsidRPr="0059317C">
        <w:rPr>
          <w:rFonts w:eastAsiaTheme="minorEastAsia"/>
          <w:szCs w:val="20"/>
          <w:lang w:val="en-US"/>
        </w:rPr>
        <w:t>Gerald M. Fitzgerald on the</w:t>
      </w:r>
      <w:r>
        <w:rPr>
          <w:rFonts w:eastAsiaTheme="minorEastAsia"/>
          <w:szCs w:val="20"/>
          <w:lang w:val="en-US"/>
        </w:rPr>
        <w:t xml:space="preserve"> tell.  Even t</w:t>
      </w:r>
      <w:r w:rsidRPr="0059317C">
        <w:rPr>
          <w:rFonts w:eastAsiaTheme="minorEastAsia"/>
          <w:szCs w:val="20"/>
          <w:lang w:val="en-US"/>
        </w:rPr>
        <w:t xml:space="preserve">he renewed excavations </w:t>
      </w:r>
      <w:r>
        <w:rPr>
          <w:rFonts w:eastAsiaTheme="minorEastAsia"/>
          <w:szCs w:val="20"/>
          <w:lang w:val="en-US"/>
        </w:rPr>
        <w:t xml:space="preserve">at the </w:t>
      </w:r>
      <w:r w:rsidRPr="0059317C">
        <w:rPr>
          <w:rFonts w:eastAsiaTheme="minorEastAsia"/>
          <w:szCs w:val="20"/>
          <w:lang w:val="en-US"/>
        </w:rPr>
        <w:t>site by Dr. Amihai Mazar</w:t>
      </w:r>
      <w:r>
        <w:rPr>
          <w:rFonts w:eastAsiaTheme="minorEastAsia"/>
          <w:szCs w:val="20"/>
          <w:lang w:val="en-US"/>
        </w:rPr>
        <w:t>, which</w:t>
      </w:r>
      <w:r w:rsidRPr="0059317C">
        <w:rPr>
          <w:rFonts w:eastAsiaTheme="minorEastAsia"/>
          <w:szCs w:val="20"/>
          <w:lang w:val="en-US"/>
        </w:rPr>
        <w:t xml:space="preserve"> </w:t>
      </w:r>
      <w:r>
        <w:rPr>
          <w:rFonts w:eastAsiaTheme="minorEastAsia"/>
          <w:szCs w:val="20"/>
          <w:lang w:val="en-US"/>
        </w:rPr>
        <w:t xml:space="preserve">had </w:t>
      </w:r>
      <w:r w:rsidRPr="0059317C">
        <w:rPr>
          <w:rFonts w:eastAsiaTheme="minorEastAsia"/>
          <w:szCs w:val="20"/>
          <w:lang w:val="en-US"/>
        </w:rPr>
        <w:t xml:space="preserve">reached the same levels (especially XI) as the “new” graveyard, </w:t>
      </w:r>
      <w:r>
        <w:rPr>
          <w:rFonts w:eastAsiaTheme="minorEastAsia"/>
          <w:szCs w:val="20"/>
          <w:lang w:val="en-US"/>
        </w:rPr>
        <w:t>did not know of its existence.</w:t>
      </w:r>
      <w:r w:rsidR="00753BEB" w:rsidRPr="0059317C">
        <w:rPr>
          <w:rStyle w:val="FootnoteReference"/>
          <w:rFonts w:eastAsiaTheme="minorEastAsia"/>
          <w:szCs w:val="20"/>
          <w:lang w:val="en-US"/>
        </w:rPr>
        <w:footnoteReference w:id="42"/>
      </w:r>
      <w:r w:rsidR="00753BEB" w:rsidRPr="0059317C">
        <w:rPr>
          <w:rFonts w:eastAsiaTheme="minorEastAsia"/>
          <w:szCs w:val="20"/>
          <w:lang w:val="en-US"/>
        </w:rPr>
        <w:t xml:space="preserve"> </w:t>
      </w:r>
      <w:r>
        <w:rPr>
          <w:rFonts w:eastAsiaTheme="minorEastAsia"/>
          <w:szCs w:val="20"/>
          <w:lang w:val="en-US"/>
        </w:rPr>
        <w:t xml:space="preserve">  </w:t>
      </w:r>
    </w:p>
    <w:p w14:paraId="15D961A8" w14:textId="77777777" w:rsidR="00753BEB" w:rsidRDefault="00753BEB" w:rsidP="005125F6">
      <w:pPr>
        <w:widowControl w:val="0"/>
        <w:autoSpaceDE w:val="0"/>
        <w:autoSpaceDN w:val="0"/>
        <w:adjustRightInd w:val="0"/>
        <w:spacing w:after="0" w:line="240" w:lineRule="auto"/>
        <w:rPr>
          <w:rFonts w:eastAsiaTheme="minorEastAsia"/>
          <w:szCs w:val="20"/>
          <w:lang w:val="en-US"/>
        </w:rPr>
      </w:pPr>
    </w:p>
    <w:p w14:paraId="08F3489B" w14:textId="49C60B9F" w:rsidR="000D3EB3" w:rsidRPr="0059317C" w:rsidRDefault="00985060" w:rsidP="005125F6">
      <w:pPr>
        <w:widowControl w:val="0"/>
        <w:autoSpaceDE w:val="0"/>
        <w:autoSpaceDN w:val="0"/>
        <w:adjustRightInd w:val="0"/>
        <w:spacing w:after="0" w:line="240" w:lineRule="auto"/>
        <w:rPr>
          <w:rFonts w:eastAsiaTheme="minorEastAsia"/>
          <w:szCs w:val="20"/>
          <w:lang w:val="en-US"/>
        </w:rPr>
      </w:pPr>
      <w:r>
        <w:rPr>
          <w:rFonts w:eastAsiaTheme="minorEastAsia"/>
          <w:szCs w:val="20"/>
          <w:lang w:val="en-US"/>
        </w:rPr>
        <w:t xml:space="preserve">In reviewing Dr. James’ manuscript, one tomb </w:t>
      </w:r>
      <w:r w:rsidRPr="001A2759">
        <w:rPr>
          <w:rFonts w:eastAsiaTheme="minorEastAsia"/>
          <w:szCs w:val="20"/>
          <w:lang w:val="en-US"/>
        </w:rPr>
        <w:t xml:space="preserve">(1803) </w:t>
      </w:r>
      <w:r>
        <w:rPr>
          <w:rFonts w:eastAsiaTheme="minorEastAsia"/>
          <w:szCs w:val="20"/>
          <w:lang w:val="en-US"/>
        </w:rPr>
        <w:t xml:space="preserve">of </w:t>
      </w:r>
      <w:r w:rsidRPr="0059317C">
        <w:rPr>
          <w:rFonts w:eastAsiaTheme="minorEastAsia"/>
          <w:szCs w:val="20"/>
          <w:lang w:val="en-US"/>
        </w:rPr>
        <w:t>probable</w:t>
      </w:r>
      <w:r>
        <w:rPr>
          <w:rFonts w:eastAsiaTheme="minorEastAsia"/>
          <w:szCs w:val="20"/>
          <w:lang w:val="en-US"/>
        </w:rPr>
        <w:t xml:space="preserve"> </w:t>
      </w:r>
      <w:r w:rsidRPr="0059317C">
        <w:rPr>
          <w:rFonts w:eastAsiaTheme="minorEastAsia"/>
          <w:szCs w:val="20"/>
          <w:lang w:val="en-US"/>
        </w:rPr>
        <w:t>late</w:t>
      </w:r>
      <w:r>
        <w:rPr>
          <w:rFonts w:eastAsiaTheme="minorEastAsia"/>
          <w:szCs w:val="20"/>
          <w:lang w:val="en-US"/>
        </w:rPr>
        <w:t>r</w:t>
      </w:r>
      <w:r w:rsidRPr="0059317C">
        <w:rPr>
          <w:rFonts w:eastAsiaTheme="minorEastAsia"/>
          <w:szCs w:val="20"/>
          <w:lang w:val="en-US"/>
        </w:rPr>
        <w:t xml:space="preserve"> MB IIA date</w:t>
      </w:r>
      <w:r>
        <w:rPr>
          <w:rFonts w:eastAsiaTheme="minorEastAsia"/>
          <w:szCs w:val="20"/>
          <w:lang w:val="en-US"/>
        </w:rPr>
        <w:t xml:space="preserve"> stood out, because it </w:t>
      </w:r>
      <w:r w:rsidR="00671312">
        <w:rPr>
          <w:rFonts w:eastAsiaTheme="minorEastAsia"/>
          <w:szCs w:val="20"/>
          <w:lang w:val="en-US"/>
        </w:rPr>
        <w:t>was a well-defined, intact burial of a single individual, interred with his/her burial goods.  Surpisingly, the tomb group includ</w:t>
      </w:r>
      <w:r>
        <w:rPr>
          <w:rFonts w:eastAsiaTheme="minorEastAsia"/>
          <w:szCs w:val="20"/>
          <w:lang w:val="en-US"/>
        </w:rPr>
        <w:t xml:space="preserve">ed an imported </w:t>
      </w:r>
      <w:r w:rsidR="00753BEB">
        <w:rPr>
          <w:rFonts w:eastAsiaTheme="minorEastAsia"/>
          <w:szCs w:val="20"/>
          <w:lang w:val="en-US"/>
        </w:rPr>
        <w:t xml:space="preserve">Egyptian </w:t>
      </w:r>
      <w:r>
        <w:rPr>
          <w:rFonts w:eastAsiaTheme="minorEastAsia"/>
          <w:szCs w:val="20"/>
          <w:lang w:val="en-US"/>
        </w:rPr>
        <w:t xml:space="preserve">scarab of the </w:t>
      </w:r>
      <w:r w:rsidRPr="001A2759">
        <w:rPr>
          <w:rFonts w:eastAsiaTheme="minorEastAsia"/>
          <w:szCs w:val="20"/>
          <w:lang w:val="en-US"/>
        </w:rPr>
        <w:t>Sobekhotep-group</w:t>
      </w:r>
      <w:r>
        <w:rPr>
          <w:rFonts w:eastAsiaTheme="minorEastAsia"/>
          <w:szCs w:val="20"/>
          <w:lang w:val="en-US"/>
        </w:rPr>
        <w:t xml:space="preserve">, </w:t>
      </w:r>
      <w:r w:rsidR="0046045C">
        <w:rPr>
          <w:rFonts w:eastAsiaTheme="minorEastAsia"/>
          <w:szCs w:val="20"/>
          <w:lang w:val="en-US"/>
        </w:rPr>
        <w:t>one of only a handful of this type found in the southern Levant.  Such scarabs mark the end of Middle Kingdom influence in the region in accord with the two-phase hypothesis based on the scarab evidence.  Nine</w:t>
      </w:r>
      <w:r>
        <w:rPr>
          <w:rFonts w:eastAsiaTheme="minorEastAsia"/>
          <w:szCs w:val="20"/>
          <w:lang w:val="en-US"/>
        </w:rPr>
        <w:t xml:space="preserve"> whole vessels</w:t>
      </w:r>
      <w:r w:rsidR="0046045C">
        <w:rPr>
          <w:rFonts w:eastAsiaTheme="minorEastAsia"/>
          <w:szCs w:val="20"/>
          <w:lang w:val="en-US"/>
        </w:rPr>
        <w:t xml:space="preserve"> (2 bowls, 5 juglets, a red-painted jug, and an amphora jug), together with a copper-based toggle-pin, rounded</w:t>
      </w:r>
      <w:r>
        <w:rPr>
          <w:rFonts w:eastAsiaTheme="minorEastAsia"/>
          <w:szCs w:val="20"/>
          <w:lang w:val="en-US"/>
        </w:rPr>
        <w:t xml:space="preserve"> </w:t>
      </w:r>
      <w:r w:rsidR="0046045C">
        <w:rPr>
          <w:rFonts w:eastAsiaTheme="minorEastAsia"/>
          <w:szCs w:val="20"/>
          <w:lang w:val="en-US"/>
        </w:rPr>
        <w:t xml:space="preserve">out the corpus.  </w:t>
      </w:r>
      <w:r w:rsidR="0046045C">
        <w:rPr>
          <w:rFonts w:eastAsiaTheme="minorEastAsia"/>
          <w:szCs w:val="20"/>
          <w:lang w:val="en-US"/>
        </w:rPr>
        <w:lastRenderedPageBreak/>
        <w:t xml:space="preserve">Another large jar with a painted decoration similar to the Montet Jar from Byblos was found nearby in Locus 1803; it may or may not be related to the tomb per se.  </w:t>
      </w:r>
      <w:r w:rsidR="00BC6360">
        <w:rPr>
          <w:rFonts w:eastAsiaTheme="minorEastAsia"/>
          <w:szCs w:val="20"/>
          <w:lang w:val="en-US"/>
        </w:rPr>
        <w:t xml:space="preserve">The pottery can be broadly characterized as of probable northern Palestinian and possibly local manufacture.  </w:t>
      </w:r>
      <w:r w:rsidR="0046045C">
        <w:rPr>
          <w:rFonts w:eastAsiaTheme="minorEastAsia"/>
          <w:szCs w:val="20"/>
          <w:lang w:val="en-US"/>
        </w:rPr>
        <w:t>It should be stressed</w:t>
      </w:r>
      <w:r w:rsidR="00BC6360">
        <w:rPr>
          <w:rFonts w:eastAsiaTheme="minorEastAsia"/>
          <w:szCs w:val="20"/>
          <w:lang w:val="en-US"/>
        </w:rPr>
        <w:t>, however,</w:t>
      </w:r>
      <w:r w:rsidR="0046045C">
        <w:rPr>
          <w:rFonts w:eastAsiaTheme="minorEastAsia"/>
          <w:szCs w:val="20"/>
          <w:lang w:val="en-US"/>
        </w:rPr>
        <w:t xml:space="preserve"> that pottery typology is far from being an exact science, no radiocarbon determinations were made or indeed are possible, and that </w:t>
      </w:r>
      <w:r w:rsidR="00BC6360">
        <w:rPr>
          <w:rFonts w:eastAsiaTheme="minorEastAsia"/>
          <w:szCs w:val="20"/>
          <w:lang w:val="en-US"/>
        </w:rPr>
        <w:t xml:space="preserve">NAA analyses are needed to establish which vessels might be </w:t>
      </w:r>
      <w:r>
        <w:rPr>
          <w:rFonts w:eastAsiaTheme="minorEastAsia"/>
          <w:szCs w:val="20"/>
          <w:lang w:val="en-US"/>
        </w:rPr>
        <w:t xml:space="preserve">of </w:t>
      </w:r>
      <w:r w:rsidR="00BC6360">
        <w:rPr>
          <w:rFonts w:eastAsiaTheme="minorEastAsia"/>
          <w:szCs w:val="20"/>
          <w:lang w:val="en-US"/>
        </w:rPr>
        <w:t>local manufacture or were imported.</w:t>
      </w:r>
    </w:p>
    <w:p w14:paraId="78350586" w14:textId="77777777" w:rsidR="002F47C1" w:rsidRPr="0059317C" w:rsidRDefault="002F47C1" w:rsidP="005125F6">
      <w:pPr>
        <w:widowControl w:val="0"/>
        <w:autoSpaceDE w:val="0"/>
        <w:autoSpaceDN w:val="0"/>
        <w:adjustRightInd w:val="0"/>
        <w:spacing w:after="0" w:line="240" w:lineRule="auto"/>
        <w:rPr>
          <w:rFonts w:eastAsiaTheme="minorEastAsia"/>
          <w:szCs w:val="20"/>
          <w:lang w:val="en-US"/>
        </w:rPr>
      </w:pPr>
    </w:p>
    <w:p w14:paraId="5C11BC85" w14:textId="27EBE5E2" w:rsidR="00B6064F" w:rsidRPr="00B6064F" w:rsidRDefault="00B6064F" w:rsidP="00B6064F">
      <w:pPr>
        <w:widowControl w:val="0"/>
        <w:autoSpaceDE w:val="0"/>
        <w:autoSpaceDN w:val="0"/>
        <w:adjustRightInd w:val="0"/>
        <w:spacing w:after="0" w:line="240" w:lineRule="auto"/>
        <w:rPr>
          <w:rFonts w:eastAsiaTheme="minorEastAsia"/>
          <w:szCs w:val="20"/>
          <w:lang w:val="en-US"/>
        </w:rPr>
      </w:pPr>
      <w:r w:rsidRPr="00B6064F">
        <w:rPr>
          <w:rFonts w:eastAsiaTheme="minorEastAsia"/>
          <w:szCs w:val="20"/>
          <w:lang w:val="en-US"/>
        </w:rPr>
        <w:t xml:space="preserve">These Beth Shan findings naturally led me </w:t>
      </w:r>
      <w:r w:rsidR="00D024E0">
        <w:rPr>
          <w:rFonts w:eastAsiaTheme="minorEastAsia"/>
          <w:szCs w:val="20"/>
          <w:lang w:val="en-US"/>
        </w:rPr>
        <w:t>to undertake</w:t>
      </w:r>
      <w:r w:rsidRPr="00B6064F">
        <w:rPr>
          <w:rFonts w:eastAsiaTheme="minorEastAsia"/>
          <w:szCs w:val="20"/>
          <w:lang w:val="en-US"/>
        </w:rPr>
        <w:t xml:space="preserve"> a fresh appraisal of this monograph, since I had cited parallels to some of the same pottery types as </w:t>
      </w:r>
      <w:r w:rsidR="00D024E0">
        <w:rPr>
          <w:rFonts w:eastAsiaTheme="minorEastAsia"/>
          <w:szCs w:val="20"/>
          <w:lang w:val="en-US"/>
        </w:rPr>
        <w:t>those from grave</w:t>
      </w:r>
      <w:r w:rsidRPr="00B6064F">
        <w:rPr>
          <w:rFonts w:eastAsiaTheme="minorEastAsia"/>
          <w:szCs w:val="20"/>
          <w:lang w:val="en-US"/>
        </w:rPr>
        <w:t xml:space="preserve"> 1803 vessels and </w:t>
      </w:r>
      <w:r w:rsidR="00D024E0">
        <w:rPr>
          <w:rFonts w:eastAsiaTheme="minorEastAsia"/>
          <w:szCs w:val="20"/>
          <w:lang w:val="en-US"/>
        </w:rPr>
        <w:t>need</w:t>
      </w:r>
      <w:r w:rsidRPr="00B6064F">
        <w:rPr>
          <w:rFonts w:eastAsiaTheme="minorEastAsia"/>
          <w:szCs w:val="20"/>
          <w:lang w:val="en-US"/>
        </w:rPr>
        <w:t>ed to recheck th</w:t>
      </w:r>
      <w:r w:rsidR="00D024E0">
        <w:rPr>
          <w:rFonts w:eastAsiaTheme="minorEastAsia"/>
          <w:szCs w:val="20"/>
          <w:lang w:val="en-US"/>
        </w:rPr>
        <w:t>e latter</w:t>
      </w:r>
      <w:r w:rsidRPr="00B6064F">
        <w:rPr>
          <w:rFonts w:eastAsiaTheme="minorEastAsia"/>
          <w:szCs w:val="20"/>
          <w:lang w:val="en-US"/>
        </w:rPr>
        <w:t xml:space="preserve"> in addition to collecting </w:t>
      </w:r>
      <w:r w:rsidRPr="00B6064F">
        <w:rPr>
          <w:rFonts w:eastAsiaTheme="minorEastAsia"/>
          <w:i/>
          <w:szCs w:val="20"/>
          <w:lang w:val="en-US"/>
        </w:rPr>
        <w:t>comparanda</w:t>
      </w:r>
      <w:r w:rsidRPr="00B6064F">
        <w:rPr>
          <w:rFonts w:eastAsiaTheme="minorEastAsia"/>
          <w:szCs w:val="20"/>
          <w:lang w:val="en-US"/>
        </w:rPr>
        <w:t xml:space="preserve"> from the many Levantine sites and tombs which have since been published.  </w:t>
      </w:r>
      <w:r w:rsidR="00753BEB">
        <w:rPr>
          <w:rFonts w:eastAsiaTheme="minorEastAsia"/>
          <w:szCs w:val="20"/>
          <w:lang w:val="en-US"/>
        </w:rPr>
        <w:t xml:space="preserve">It took me some </w:t>
      </w:r>
      <w:r w:rsidR="00BC6360">
        <w:rPr>
          <w:rFonts w:eastAsiaTheme="minorEastAsia"/>
          <w:szCs w:val="20"/>
          <w:lang w:val="en-US"/>
        </w:rPr>
        <w:t>time</w:t>
      </w:r>
      <w:r w:rsidR="00753BEB">
        <w:rPr>
          <w:rFonts w:eastAsiaTheme="minorEastAsia"/>
          <w:szCs w:val="20"/>
          <w:lang w:val="en-US"/>
        </w:rPr>
        <w:t xml:space="preserve"> to get back</w:t>
      </w:r>
      <w:r w:rsidRPr="00B6064F">
        <w:rPr>
          <w:rFonts w:eastAsiaTheme="minorEastAsia"/>
          <w:szCs w:val="20"/>
          <w:lang w:val="en-US"/>
        </w:rPr>
        <w:t xml:space="preserve"> up-to-speed on the latest publications, radiocarbon dating, and other matters related to this important period.</w:t>
      </w:r>
    </w:p>
    <w:p w14:paraId="1CDF4A7E" w14:textId="77777777" w:rsidR="00FB19B5" w:rsidRPr="0059317C" w:rsidRDefault="008E76FE" w:rsidP="005125F6">
      <w:pPr>
        <w:widowControl w:val="0"/>
        <w:autoSpaceDE w:val="0"/>
        <w:autoSpaceDN w:val="0"/>
        <w:adjustRightInd w:val="0"/>
        <w:spacing w:after="0" w:line="240" w:lineRule="auto"/>
        <w:rPr>
          <w:rFonts w:eastAsiaTheme="minorEastAsia"/>
          <w:szCs w:val="20"/>
          <w:lang w:val="en-US"/>
        </w:rPr>
      </w:pPr>
      <w:r w:rsidRPr="0059317C">
        <w:rPr>
          <w:rFonts w:eastAsiaTheme="minorEastAsia"/>
          <w:szCs w:val="20"/>
          <w:lang w:val="en-US"/>
        </w:rPr>
        <w:t xml:space="preserve"> </w:t>
      </w:r>
    </w:p>
    <w:p w14:paraId="3D399466" w14:textId="1FDED443" w:rsidR="00FB19B5" w:rsidRPr="0059317C" w:rsidRDefault="00FB19B5" w:rsidP="005125F6">
      <w:pPr>
        <w:widowControl w:val="0"/>
        <w:autoSpaceDE w:val="0"/>
        <w:autoSpaceDN w:val="0"/>
        <w:adjustRightInd w:val="0"/>
        <w:spacing w:after="0" w:line="240" w:lineRule="auto"/>
        <w:rPr>
          <w:rFonts w:eastAsiaTheme="minorEastAsia"/>
          <w:szCs w:val="20"/>
          <w:lang w:val="en-US"/>
        </w:rPr>
      </w:pPr>
      <w:r w:rsidRPr="0059317C">
        <w:rPr>
          <w:rFonts w:eastAsiaTheme="minorEastAsia"/>
          <w:szCs w:val="20"/>
          <w:lang w:val="en-US"/>
        </w:rPr>
        <w:t xml:space="preserve">As I delved back into the NAA-petrographic controversy with Goren, I realized that I needed a professional geologist to assess that data, and by another stroke of </w:t>
      </w:r>
      <w:r w:rsidR="00AE0454" w:rsidRPr="0059317C">
        <w:rPr>
          <w:rFonts w:eastAsiaTheme="minorEastAsia"/>
          <w:szCs w:val="20"/>
          <w:lang w:val="en-US"/>
        </w:rPr>
        <w:t>serendipity</w:t>
      </w:r>
      <w:r w:rsidRPr="0059317C">
        <w:rPr>
          <w:rFonts w:eastAsiaTheme="minorEastAsia"/>
          <w:szCs w:val="20"/>
          <w:lang w:val="en-US"/>
        </w:rPr>
        <w:t xml:space="preserve">, I tracked </w:t>
      </w:r>
      <w:r w:rsidR="00F84049" w:rsidRPr="0059317C">
        <w:rPr>
          <w:rFonts w:eastAsiaTheme="minorEastAsia"/>
          <w:szCs w:val="20"/>
          <w:lang w:val="en-US"/>
        </w:rPr>
        <w:t xml:space="preserve">down Dr. </w:t>
      </w:r>
      <w:r w:rsidRPr="0059317C">
        <w:rPr>
          <w:rFonts w:eastAsiaTheme="minorEastAsia"/>
          <w:szCs w:val="20"/>
          <w:lang w:val="en-US"/>
        </w:rPr>
        <w:t xml:space="preserve">Wnuk, </w:t>
      </w:r>
      <w:r w:rsidR="00642BC4">
        <w:rPr>
          <w:rFonts w:eastAsiaTheme="minorEastAsia"/>
          <w:szCs w:val="20"/>
          <w:lang w:val="en-US"/>
        </w:rPr>
        <w:t xml:space="preserve">my petrographer from nearly 30 years ago, </w:t>
      </w:r>
      <w:r w:rsidRPr="0059317C">
        <w:rPr>
          <w:rFonts w:eastAsiaTheme="minorEastAsia"/>
          <w:szCs w:val="20"/>
          <w:lang w:val="en-US"/>
        </w:rPr>
        <w:t xml:space="preserve">sent him an email, and within days we were back in touch.  </w:t>
      </w:r>
      <w:r w:rsidR="00733382" w:rsidRPr="0059317C">
        <w:rPr>
          <w:rFonts w:eastAsiaTheme="minorEastAsia"/>
          <w:szCs w:val="20"/>
          <w:lang w:val="en-US"/>
        </w:rPr>
        <w:t>In the intervening years, h</w:t>
      </w:r>
      <w:r w:rsidRPr="0059317C">
        <w:rPr>
          <w:rFonts w:eastAsiaTheme="minorEastAsia"/>
          <w:szCs w:val="20"/>
          <w:lang w:val="en-US"/>
        </w:rPr>
        <w:t xml:space="preserve">e </w:t>
      </w:r>
      <w:r w:rsidR="00733382" w:rsidRPr="0059317C">
        <w:rPr>
          <w:rFonts w:eastAsiaTheme="minorEastAsia"/>
          <w:szCs w:val="20"/>
          <w:lang w:val="en-US"/>
        </w:rPr>
        <w:t>had had a fascinating career discovering coal, gold, and other mineral deposits throught the Middle East.  He was in between projects and offered to fully review Goren’s methodology for this appendix.  I now had the technical backup that I needed to move forward not just on publishing the Tell el-Dab`a pottery drawings at long last, but in moving forward on a full-fledged critique of an approach and results that I have seriously questioned for many years.</w:t>
      </w:r>
    </w:p>
    <w:p w14:paraId="64FED19D" w14:textId="77777777" w:rsidR="00733382" w:rsidRPr="0059317C" w:rsidRDefault="00733382" w:rsidP="005125F6">
      <w:pPr>
        <w:widowControl w:val="0"/>
        <w:autoSpaceDE w:val="0"/>
        <w:autoSpaceDN w:val="0"/>
        <w:adjustRightInd w:val="0"/>
        <w:spacing w:after="0" w:line="240" w:lineRule="auto"/>
        <w:rPr>
          <w:rFonts w:eastAsiaTheme="minorEastAsia"/>
          <w:szCs w:val="20"/>
          <w:lang w:val="en-US"/>
        </w:rPr>
      </w:pPr>
    </w:p>
    <w:p w14:paraId="1EBC5598" w14:textId="77777777" w:rsidR="00733382" w:rsidRPr="0059317C" w:rsidRDefault="00733382" w:rsidP="005125F6">
      <w:pPr>
        <w:widowControl w:val="0"/>
        <w:autoSpaceDE w:val="0"/>
        <w:autoSpaceDN w:val="0"/>
        <w:adjustRightInd w:val="0"/>
        <w:spacing w:after="0" w:line="240" w:lineRule="auto"/>
        <w:rPr>
          <w:rFonts w:eastAsiaTheme="minorEastAsia"/>
          <w:szCs w:val="20"/>
          <w:lang w:val="en-US"/>
        </w:rPr>
      </w:pPr>
      <w:r w:rsidRPr="0059317C">
        <w:rPr>
          <w:rFonts w:eastAsiaTheme="minorEastAsia"/>
          <w:szCs w:val="20"/>
          <w:lang w:val="en-US"/>
        </w:rPr>
        <w:t xml:space="preserve">Since obtaining the best data you can, developing working hypotheses to be tested, and making it available to the larger academic world for further investigation are the prerequisites of any science, properly so-called, I also reinitiated contact with </w:t>
      </w:r>
      <w:r w:rsidR="00F84049" w:rsidRPr="0059317C">
        <w:rPr>
          <w:rFonts w:eastAsiaTheme="minorEastAsia"/>
          <w:szCs w:val="20"/>
          <w:lang w:val="en-US"/>
        </w:rPr>
        <w:t>Dr.</w:t>
      </w:r>
      <w:r w:rsidRPr="0059317C">
        <w:rPr>
          <w:rFonts w:eastAsiaTheme="minorEastAsia"/>
          <w:szCs w:val="20"/>
          <w:lang w:val="en-US"/>
        </w:rPr>
        <w:t xml:space="preserve"> Glascock of the Missouri lab, to have as much of the Brookhaven and Missouri data for this study be made available on-line on the Missouri homepage.  He gladly agreed to this, and the data is now available at </w:t>
      </w:r>
      <w:hyperlink r:id="rId11" w:history="1">
        <w:r w:rsidR="009C44CF" w:rsidRPr="00E330A9">
          <w:rPr>
            <w:rStyle w:val="Hyperlink"/>
            <w:rFonts w:eastAsiaTheme="minorEastAsia"/>
            <w:szCs w:val="20"/>
            <w:lang w:val="en-US"/>
          </w:rPr>
          <w:t>www.archaeometry.missouri.edu</w:t>
        </w:r>
      </w:hyperlink>
      <w:r w:rsidRPr="0059317C">
        <w:rPr>
          <w:rFonts w:eastAsiaTheme="minorEastAsia"/>
          <w:szCs w:val="20"/>
          <w:lang w:val="en-US"/>
        </w:rPr>
        <w:t xml:space="preserve">. </w:t>
      </w:r>
      <w:r w:rsidR="008E00B8" w:rsidRPr="0059317C">
        <w:rPr>
          <w:rFonts w:eastAsiaTheme="minorEastAsia"/>
          <w:szCs w:val="20"/>
          <w:lang w:val="en-US"/>
        </w:rPr>
        <w:t>Archaeological petrographers are advised to do the same.</w:t>
      </w:r>
    </w:p>
    <w:p w14:paraId="3A2C6EBA" w14:textId="77777777" w:rsidR="00FB19B5" w:rsidRPr="0059317C" w:rsidRDefault="00FB19B5" w:rsidP="005125F6">
      <w:pPr>
        <w:widowControl w:val="0"/>
        <w:autoSpaceDE w:val="0"/>
        <w:autoSpaceDN w:val="0"/>
        <w:adjustRightInd w:val="0"/>
        <w:spacing w:after="0" w:line="240" w:lineRule="auto"/>
        <w:rPr>
          <w:rFonts w:eastAsiaTheme="minorEastAsia"/>
          <w:szCs w:val="20"/>
          <w:lang w:val="en-US"/>
        </w:rPr>
      </w:pPr>
    </w:p>
    <w:p w14:paraId="55A0AC7C" w14:textId="3896E31E" w:rsidR="00E73BD8" w:rsidRDefault="005125F6" w:rsidP="005125F6">
      <w:pPr>
        <w:widowControl w:val="0"/>
        <w:autoSpaceDE w:val="0"/>
        <w:autoSpaceDN w:val="0"/>
        <w:adjustRightInd w:val="0"/>
        <w:spacing w:after="0" w:line="240" w:lineRule="auto"/>
        <w:rPr>
          <w:rFonts w:eastAsiaTheme="minorEastAsia"/>
          <w:szCs w:val="20"/>
          <w:lang w:val="en-US"/>
        </w:rPr>
      </w:pPr>
      <w:bookmarkStart w:id="49" w:name="_Hlk7608030"/>
      <w:r w:rsidRPr="0059317C">
        <w:rPr>
          <w:rFonts w:eastAsiaTheme="minorEastAsia"/>
          <w:szCs w:val="20"/>
          <w:lang w:val="en-US"/>
        </w:rPr>
        <w:lastRenderedPageBreak/>
        <w:t xml:space="preserve">We can only hope that </w:t>
      </w:r>
      <w:r w:rsidR="0052418B" w:rsidRPr="0059317C">
        <w:rPr>
          <w:rFonts w:eastAsiaTheme="minorEastAsia"/>
          <w:szCs w:val="20"/>
          <w:lang w:val="en-US"/>
        </w:rPr>
        <w:t>this</w:t>
      </w:r>
      <w:r w:rsidRPr="0059317C">
        <w:rPr>
          <w:rFonts w:eastAsiaTheme="minorEastAsia"/>
          <w:szCs w:val="20"/>
          <w:lang w:val="en-US"/>
        </w:rPr>
        <w:t xml:space="preserve"> critical appraisal of Goren’s </w:t>
      </w:r>
      <w:r w:rsidR="00310835">
        <w:rPr>
          <w:rFonts w:eastAsiaTheme="minorEastAsia"/>
          <w:szCs w:val="20"/>
          <w:lang w:val="en-US"/>
        </w:rPr>
        <w:t xml:space="preserve">and his </w:t>
      </w:r>
      <w:r w:rsidR="00A12AB7">
        <w:rPr>
          <w:rFonts w:eastAsiaTheme="minorEastAsia"/>
          <w:szCs w:val="20"/>
          <w:lang w:val="en-US"/>
        </w:rPr>
        <w:t xml:space="preserve">followers’ </w:t>
      </w:r>
      <w:r w:rsidRPr="0059317C">
        <w:rPr>
          <w:rFonts w:eastAsiaTheme="minorEastAsia"/>
          <w:szCs w:val="20"/>
          <w:lang w:val="en-US"/>
        </w:rPr>
        <w:t xml:space="preserve">methodology and conclusions </w:t>
      </w:r>
      <w:r w:rsidR="00D74C63" w:rsidRPr="0059317C">
        <w:rPr>
          <w:rFonts w:eastAsiaTheme="minorEastAsia"/>
          <w:szCs w:val="20"/>
          <w:lang w:val="en-US"/>
        </w:rPr>
        <w:t xml:space="preserve">here </w:t>
      </w:r>
      <w:r w:rsidRPr="0059317C">
        <w:rPr>
          <w:rFonts w:eastAsiaTheme="minorEastAsia"/>
          <w:szCs w:val="20"/>
          <w:lang w:val="en-US"/>
        </w:rPr>
        <w:t xml:space="preserve">will </w:t>
      </w:r>
      <w:r w:rsidR="00D74C63" w:rsidRPr="0059317C">
        <w:rPr>
          <w:rFonts w:eastAsiaTheme="minorEastAsia"/>
          <w:szCs w:val="20"/>
          <w:lang w:val="en-US"/>
        </w:rPr>
        <w:t xml:space="preserve">help </w:t>
      </w:r>
      <w:r w:rsidR="0052418B" w:rsidRPr="0059317C">
        <w:rPr>
          <w:rFonts w:eastAsiaTheme="minorEastAsia"/>
          <w:szCs w:val="20"/>
          <w:lang w:val="en-US"/>
        </w:rPr>
        <w:t>correct the record</w:t>
      </w:r>
      <w:r w:rsidR="00B434B3">
        <w:rPr>
          <w:rFonts w:eastAsiaTheme="minorEastAsia"/>
          <w:szCs w:val="20"/>
          <w:lang w:val="en-US"/>
        </w:rPr>
        <w:t xml:space="preserve"> and</w:t>
      </w:r>
      <w:r w:rsidRPr="0059317C">
        <w:rPr>
          <w:rFonts w:eastAsiaTheme="minorEastAsia"/>
          <w:szCs w:val="20"/>
          <w:lang w:val="en-US"/>
        </w:rPr>
        <w:t xml:space="preserve"> prevent any errors being perpetuated in the literature.  </w:t>
      </w:r>
      <w:bookmarkEnd w:id="49"/>
      <w:r w:rsidR="00EE0328" w:rsidRPr="0059317C">
        <w:rPr>
          <w:rFonts w:eastAsiaTheme="minorEastAsia"/>
          <w:szCs w:val="20"/>
          <w:lang w:val="en-US"/>
        </w:rPr>
        <w:t>I</w:t>
      </w:r>
      <w:r w:rsidRPr="0059317C">
        <w:rPr>
          <w:rFonts w:eastAsiaTheme="minorEastAsia"/>
          <w:szCs w:val="20"/>
          <w:lang w:val="en-US"/>
        </w:rPr>
        <w:t xml:space="preserve"> also remain </w:t>
      </w:r>
      <w:r w:rsidR="00582B62" w:rsidRPr="0059317C">
        <w:rPr>
          <w:rFonts w:eastAsiaTheme="minorEastAsia"/>
          <w:szCs w:val="20"/>
          <w:lang w:val="en-US"/>
        </w:rPr>
        <w:t>hopeful</w:t>
      </w:r>
      <w:r w:rsidRPr="0059317C">
        <w:rPr>
          <w:rFonts w:eastAsiaTheme="minorEastAsia"/>
          <w:szCs w:val="20"/>
          <w:lang w:val="en-US"/>
        </w:rPr>
        <w:t xml:space="preserve"> that the unpublished NAA data</w:t>
      </w:r>
      <w:r w:rsidR="00B0502D" w:rsidRPr="0059317C">
        <w:rPr>
          <w:rFonts w:eastAsiaTheme="minorEastAsia"/>
          <w:szCs w:val="20"/>
          <w:lang w:val="en-US"/>
        </w:rPr>
        <w:t xml:space="preserve"> from Ashkelon</w:t>
      </w:r>
      <w:r w:rsidRPr="0059317C">
        <w:rPr>
          <w:rFonts w:eastAsiaTheme="minorEastAsia"/>
          <w:szCs w:val="20"/>
          <w:lang w:val="en-US"/>
        </w:rPr>
        <w:t xml:space="preserve"> will eventually be published, since it bears importantly on a period of exceptional cultural interaction, trade, </w:t>
      </w:r>
      <w:r w:rsidR="00172AE6" w:rsidRPr="0059317C">
        <w:rPr>
          <w:rFonts w:eastAsiaTheme="minorEastAsia"/>
          <w:szCs w:val="20"/>
          <w:lang w:val="en-US"/>
        </w:rPr>
        <w:t xml:space="preserve">the transfer of </w:t>
      </w:r>
      <w:r w:rsidRPr="0059317C">
        <w:rPr>
          <w:rFonts w:eastAsiaTheme="minorEastAsia"/>
          <w:szCs w:val="20"/>
          <w:lang w:val="en-US"/>
        </w:rPr>
        <w:t>technologies</w:t>
      </w:r>
      <w:r w:rsidR="009042DF" w:rsidRPr="0059317C">
        <w:rPr>
          <w:rFonts w:eastAsiaTheme="minorEastAsia"/>
          <w:szCs w:val="20"/>
          <w:lang w:val="en-US"/>
        </w:rPr>
        <w:t>,</w:t>
      </w:r>
      <w:r w:rsidRPr="0059317C">
        <w:rPr>
          <w:rFonts w:eastAsiaTheme="minorEastAsia"/>
          <w:szCs w:val="20"/>
          <w:lang w:val="en-US"/>
        </w:rPr>
        <w:t xml:space="preserve"> and ethnic origins in the ancient Near East, Egypt, and the Mediterranean world.</w:t>
      </w:r>
    </w:p>
    <w:p w14:paraId="3F737814" w14:textId="77777777" w:rsidR="007347F8" w:rsidRDefault="007347F8">
      <w:pPr>
        <w:spacing w:line="259" w:lineRule="auto"/>
        <w:rPr>
          <w:rFonts w:eastAsia="Times New Roman"/>
          <w:b/>
          <w:szCs w:val="24"/>
          <w:lang w:val="en-CA"/>
        </w:rPr>
      </w:pPr>
      <w:r>
        <w:rPr>
          <w:rFonts w:eastAsia="Times New Roman"/>
          <w:b/>
          <w:szCs w:val="24"/>
          <w:lang w:val="en-CA"/>
        </w:rPr>
        <w:br w:type="page"/>
      </w:r>
    </w:p>
    <w:p w14:paraId="317BFB07" w14:textId="7FBE37E6" w:rsidR="00E73BD8" w:rsidRPr="00105427" w:rsidRDefault="00E73BD8" w:rsidP="00E73BD8">
      <w:pPr>
        <w:widowControl w:val="0"/>
        <w:autoSpaceDE w:val="0"/>
        <w:autoSpaceDN w:val="0"/>
        <w:adjustRightInd w:val="0"/>
        <w:spacing w:after="0" w:line="240" w:lineRule="auto"/>
        <w:jc w:val="center"/>
        <w:rPr>
          <w:rFonts w:eastAsia="Times New Roman"/>
          <w:b/>
          <w:szCs w:val="24"/>
          <w:lang w:val="en-CA"/>
        </w:rPr>
      </w:pPr>
      <w:r w:rsidRPr="00105427">
        <w:rPr>
          <w:rFonts w:eastAsia="Times New Roman"/>
          <w:b/>
          <w:szCs w:val="24"/>
          <w:lang w:val="en-CA"/>
        </w:rPr>
        <w:lastRenderedPageBreak/>
        <w:t>Table 47: NAA Results for Follow-Up Test</w:t>
      </w:r>
      <w:r w:rsidRPr="00105427">
        <w:rPr>
          <w:rFonts w:eastAsia="Times New Roman"/>
          <w:b/>
          <w:bCs/>
          <w:sz w:val="22"/>
          <w:lang w:val="en-US"/>
        </w:rPr>
        <w:t xml:space="preserve"> </w:t>
      </w:r>
      <w:r w:rsidRPr="00907082">
        <w:rPr>
          <w:rFonts w:eastAsia="Times New Roman"/>
          <w:b/>
          <w:bCs/>
          <w:szCs w:val="24"/>
          <w:lang w:val="en-US"/>
        </w:rPr>
        <w:t>and Moat Sealings</w:t>
      </w:r>
      <w:r w:rsidRPr="00105427">
        <w:rPr>
          <w:rFonts w:eastAsia="Times New Roman"/>
          <w:b/>
          <w:bCs/>
          <w:sz w:val="22"/>
          <w:vertAlign w:val="superscript"/>
          <w:lang w:val="en-US"/>
        </w:rPr>
        <w:footnoteReference w:id="43"/>
      </w:r>
    </w:p>
    <w:p w14:paraId="7C5A0771" w14:textId="77777777" w:rsidR="00E73BD8" w:rsidRPr="00105427" w:rsidRDefault="00E73BD8" w:rsidP="00E73BD8">
      <w:pPr>
        <w:widowControl w:val="0"/>
        <w:autoSpaceDE w:val="0"/>
        <w:autoSpaceDN w:val="0"/>
        <w:adjustRightInd w:val="0"/>
        <w:spacing w:after="0" w:line="240" w:lineRule="auto"/>
        <w:rPr>
          <w:rFonts w:eastAsia="Times New Roman"/>
          <w:sz w:val="22"/>
          <w:lang w:val="en-US"/>
        </w:rPr>
      </w:pPr>
    </w:p>
    <w:p w14:paraId="24DC7A54" w14:textId="77777777" w:rsidR="00E73BD8" w:rsidRPr="00105427" w:rsidRDefault="00E73BD8" w:rsidP="00E73BD8">
      <w:pPr>
        <w:widowControl w:val="0"/>
        <w:autoSpaceDE w:val="0"/>
        <w:autoSpaceDN w:val="0"/>
        <w:adjustRightInd w:val="0"/>
        <w:spacing w:after="0" w:line="240" w:lineRule="auto"/>
        <w:rPr>
          <w:rFonts w:eastAsia="Times New Roman"/>
          <w:sz w:val="22"/>
          <w:lang w:val="en-US"/>
        </w:rPr>
      </w:pPr>
      <w:r w:rsidRPr="00105427">
        <w:rPr>
          <w:rFonts w:eastAsia="Times New Roman"/>
          <w:sz w:val="22"/>
          <w:lang w:val="en-US"/>
        </w:rPr>
        <w:t>PMG518</w:t>
      </w:r>
    </w:p>
    <w:p w14:paraId="394DC128" w14:textId="77777777" w:rsidR="00E73BD8" w:rsidRPr="00105427" w:rsidRDefault="00E73BD8" w:rsidP="00E73BD8">
      <w:pPr>
        <w:widowControl w:val="0"/>
        <w:autoSpaceDE w:val="0"/>
        <w:autoSpaceDN w:val="0"/>
        <w:adjustRightInd w:val="0"/>
        <w:spacing w:after="0" w:line="240" w:lineRule="auto"/>
        <w:rPr>
          <w:rFonts w:eastAsia="Times New Roman"/>
          <w:sz w:val="22"/>
          <w:lang w:val="en-US"/>
        </w:rPr>
      </w:pPr>
      <w:r w:rsidRPr="00105427">
        <w:rPr>
          <w:rFonts w:eastAsia="Times New Roman"/>
          <w:sz w:val="22"/>
          <w:lang w:val="en-US"/>
        </w:rPr>
        <w:t>Jug rim; MB II</w:t>
      </w:r>
    </w:p>
    <w:p w14:paraId="76F7F0CC" w14:textId="77777777" w:rsidR="00E73BD8" w:rsidRPr="00105427" w:rsidRDefault="00E73BD8" w:rsidP="00E73BD8">
      <w:pPr>
        <w:widowControl w:val="0"/>
        <w:autoSpaceDE w:val="0"/>
        <w:autoSpaceDN w:val="0"/>
        <w:adjustRightInd w:val="0"/>
        <w:spacing w:after="0" w:line="240" w:lineRule="auto"/>
        <w:rPr>
          <w:rFonts w:eastAsia="Times New Roman"/>
          <w:sz w:val="22"/>
          <w:lang w:val="en-US"/>
        </w:rPr>
      </w:pPr>
      <w:r w:rsidRPr="00105427">
        <w:rPr>
          <w:rFonts w:eastAsia="Times New Roman"/>
          <w:sz w:val="22"/>
          <w:lang w:val="en-US"/>
        </w:rPr>
        <w:t>2.67.L17.B7.+.(1)</w:t>
      </w:r>
    </w:p>
    <w:p w14:paraId="20DDB713" w14:textId="77777777" w:rsidR="00E73BD8" w:rsidRPr="00105427" w:rsidRDefault="00E73BD8" w:rsidP="00E73BD8">
      <w:pPr>
        <w:widowControl w:val="0"/>
        <w:autoSpaceDE w:val="0"/>
        <w:autoSpaceDN w:val="0"/>
        <w:adjustRightInd w:val="0"/>
        <w:spacing w:after="0" w:line="240" w:lineRule="auto"/>
        <w:rPr>
          <w:rFonts w:eastAsia="Times New Roman"/>
          <w:sz w:val="22"/>
          <w:lang w:val="en-US"/>
        </w:rPr>
      </w:pPr>
      <w:r w:rsidRPr="00105427">
        <w:rPr>
          <w:rFonts w:eastAsia="Times New Roman"/>
          <w:sz w:val="22"/>
          <w:lang w:val="en-US"/>
        </w:rPr>
        <w:t>Harvard Semitic Museum; Israel Antiquities Authority license no. A41/89</w:t>
      </w:r>
    </w:p>
    <w:p w14:paraId="74C51C35" w14:textId="77777777" w:rsidR="00E73BD8" w:rsidRPr="00105427" w:rsidRDefault="00E73BD8" w:rsidP="00E73BD8">
      <w:pPr>
        <w:widowControl w:val="0"/>
        <w:autoSpaceDE w:val="0"/>
        <w:autoSpaceDN w:val="0"/>
        <w:adjustRightInd w:val="0"/>
        <w:spacing w:after="0" w:line="240" w:lineRule="auto"/>
        <w:rPr>
          <w:rFonts w:eastAsia="Times New Roman"/>
          <w:sz w:val="22"/>
          <w:lang w:val="en-US"/>
        </w:rPr>
      </w:pPr>
      <w:bookmarkStart w:id="51" w:name="_Hlk8816540"/>
      <w:r w:rsidRPr="00105427">
        <w:rPr>
          <w:rFonts w:eastAsia="Times New Roman"/>
          <w:sz w:val="22"/>
          <w:lang w:val="en-US"/>
        </w:rPr>
        <w:t>NAA Provenience: ?</w:t>
      </w:r>
    </w:p>
    <w:p w14:paraId="48D801F5" w14:textId="77777777" w:rsidR="00E73BD8" w:rsidRPr="00105427" w:rsidRDefault="00E73BD8" w:rsidP="00E73BD8">
      <w:pPr>
        <w:widowControl w:val="0"/>
        <w:autoSpaceDE w:val="0"/>
        <w:autoSpaceDN w:val="0"/>
        <w:adjustRightInd w:val="0"/>
        <w:spacing w:after="0" w:line="240" w:lineRule="auto"/>
        <w:rPr>
          <w:rFonts w:eastAsia="Times New Roman"/>
          <w:sz w:val="22"/>
          <w:lang w:val="en-US"/>
        </w:rPr>
      </w:pPr>
    </w:p>
    <w:bookmarkEnd w:id="51"/>
    <w:p w14:paraId="21CFF2A4" w14:textId="77777777" w:rsidR="00E73BD8" w:rsidRPr="00105427" w:rsidRDefault="00E73BD8" w:rsidP="00E73BD8">
      <w:pPr>
        <w:widowControl w:val="0"/>
        <w:autoSpaceDE w:val="0"/>
        <w:autoSpaceDN w:val="0"/>
        <w:adjustRightInd w:val="0"/>
        <w:spacing w:after="0" w:line="240" w:lineRule="auto"/>
        <w:rPr>
          <w:rFonts w:eastAsia="Times New Roman"/>
          <w:sz w:val="22"/>
          <w:lang w:val="en-US"/>
        </w:rPr>
      </w:pPr>
      <w:r w:rsidRPr="00105427">
        <w:rPr>
          <w:rFonts w:eastAsia="Times New Roman"/>
          <w:sz w:val="22"/>
          <w:lang w:val="en-US"/>
        </w:rPr>
        <w:t>PMG519</w:t>
      </w:r>
    </w:p>
    <w:p w14:paraId="419C40DD" w14:textId="77777777" w:rsidR="00E73BD8" w:rsidRPr="00105427" w:rsidRDefault="00E73BD8" w:rsidP="00E73BD8">
      <w:pPr>
        <w:widowControl w:val="0"/>
        <w:autoSpaceDE w:val="0"/>
        <w:autoSpaceDN w:val="0"/>
        <w:adjustRightInd w:val="0"/>
        <w:spacing w:after="0" w:line="240" w:lineRule="auto"/>
        <w:rPr>
          <w:rFonts w:eastAsia="Times New Roman"/>
          <w:sz w:val="22"/>
          <w:lang w:val="en-US"/>
        </w:rPr>
      </w:pPr>
      <w:r w:rsidRPr="00105427">
        <w:rPr>
          <w:rFonts w:eastAsia="Times New Roman"/>
          <w:sz w:val="22"/>
          <w:lang w:val="en-US"/>
        </w:rPr>
        <w:t>Jug body sherd; MB II</w:t>
      </w:r>
    </w:p>
    <w:p w14:paraId="22713C79" w14:textId="77777777" w:rsidR="00E73BD8" w:rsidRPr="00105427" w:rsidRDefault="00E73BD8" w:rsidP="00E73BD8">
      <w:pPr>
        <w:widowControl w:val="0"/>
        <w:autoSpaceDE w:val="0"/>
        <w:autoSpaceDN w:val="0"/>
        <w:adjustRightInd w:val="0"/>
        <w:spacing w:after="0" w:line="240" w:lineRule="auto"/>
        <w:rPr>
          <w:rFonts w:eastAsia="Times New Roman"/>
          <w:sz w:val="22"/>
          <w:lang w:val="en-US"/>
        </w:rPr>
      </w:pPr>
      <w:r w:rsidRPr="00105427">
        <w:rPr>
          <w:rFonts w:eastAsia="Times New Roman"/>
          <w:sz w:val="22"/>
          <w:lang w:val="en-US"/>
        </w:rPr>
        <w:t>2.67.L18.F18.B19+.(6)</w:t>
      </w:r>
    </w:p>
    <w:p w14:paraId="6D29ADCB" w14:textId="77777777" w:rsidR="00E73BD8" w:rsidRPr="00105427" w:rsidRDefault="00E73BD8" w:rsidP="00E73BD8">
      <w:pPr>
        <w:widowControl w:val="0"/>
        <w:autoSpaceDE w:val="0"/>
        <w:autoSpaceDN w:val="0"/>
        <w:adjustRightInd w:val="0"/>
        <w:spacing w:after="0" w:line="240" w:lineRule="auto"/>
        <w:rPr>
          <w:rFonts w:eastAsia="Times New Roman"/>
          <w:sz w:val="22"/>
          <w:lang w:val="en-US"/>
        </w:rPr>
      </w:pPr>
      <w:r w:rsidRPr="00105427">
        <w:rPr>
          <w:rFonts w:eastAsia="Times New Roman"/>
          <w:sz w:val="22"/>
          <w:lang w:val="en-US"/>
        </w:rPr>
        <w:t>Harvard Semitic Museum; Israel Antiquities Authority license no. A41/89</w:t>
      </w:r>
    </w:p>
    <w:p w14:paraId="72FD3BA8" w14:textId="77777777" w:rsidR="00E73BD8" w:rsidRPr="00105427" w:rsidRDefault="00E73BD8" w:rsidP="00E73BD8">
      <w:pPr>
        <w:widowControl w:val="0"/>
        <w:autoSpaceDE w:val="0"/>
        <w:autoSpaceDN w:val="0"/>
        <w:adjustRightInd w:val="0"/>
        <w:spacing w:after="0" w:line="240" w:lineRule="auto"/>
        <w:rPr>
          <w:rFonts w:eastAsia="Times New Roman"/>
          <w:sz w:val="22"/>
          <w:lang w:val="en-US"/>
        </w:rPr>
      </w:pPr>
      <w:r w:rsidRPr="00105427">
        <w:rPr>
          <w:rFonts w:eastAsia="Times New Roman"/>
          <w:sz w:val="22"/>
          <w:lang w:val="en-US"/>
        </w:rPr>
        <w:t>NAA Provenience: Southern Palestine</w:t>
      </w:r>
    </w:p>
    <w:p w14:paraId="77E6800F" w14:textId="77777777" w:rsidR="00E73BD8" w:rsidRPr="00105427" w:rsidRDefault="00E73BD8" w:rsidP="00E73BD8">
      <w:pPr>
        <w:widowControl w:val="0"/>
        <w:autoSpaceDE w:val="0"/>
        <w:autoSpaceDN w:val="0"/>
        <w:adjustRightInd w:val="0"/>
        <w:spacing w:after="0" w:line="240" w:lineRule="auto"/>
        <w:rPr>
          <w:rFonts w:eastAsia="Times New Roman"/>
          <w:sz w:val="22"/>
          <w:lang w:val="en-US"/>
        </w:rPr>
      </w:pPr>
    </w:p>
    <w:p w14:paraId="60CBAC2B" w14:textId="77777777" w:rsidR="00E73BD8" w:rsidRPr="00105427" w:rsidRDefault="00E73BD8" w:rsidP="00E73BD8">
      <w:pPr>
        <w:widowControl w:val="0"/>
        <w:autoSpaceDE w:val="0"/>
        <w:autoSpaceDN w:val="0"/>
        <w:adjustRightInd w:val="0"/>
        <w:spacing w:after="0" w:line="240" w:lineRule="auto"/>
        <w:rPr>
          <w:rFonts w:eastAsia="Times New Roman"/>
          <w:sz w:val="22"/>
          <w:lang w:val="en-US"/>
        </w:rPr>
      </w:pPr>
      <w:r w:rsidRPr="00105427">
        <w:rPr>
          <w:rFonts w:eastAsia="Times New Roman"/>
          <w:sz w:val="22"/>
          <w:lang w:val="en-US"/>
        </w:rPr>
        <w:t>PMG520</w:t>
      </w:r>
    </w:p>
    <w:p w14:paraId="0098DD0B" w14:textId="77777777" w:rsidR="00E73BD8" w:rsidRPr="00105427" w:rsidRDefault="00E73BD8" w:rsidP="00E73BD8">
      <w:pPr>
        <w:widowControl w:val="0"/>
        <w:autoSpaceDE w:val="0"/>
        <w:autoSpaceDN w:val="0"/>
        <w:adjustRightInd w:val="0"/>
        <w:spacing w:after="0" w:line="240" w:lineRule="auto"/>
        <w:rPr>
          <w:rFonts w:eastAsia="Times New Roman"/>
          <w:sz w:val="22"/>
          <w:lang w:val="en-US"/>
        </w:rPr>
      </w:pPr>
      <w:r w:rsidRPr="00105427">
        <w:rPr>
          <w:rFonts w:eastAsia="Times New Roman"/>
          <w:sz w:val="22"/>
          <w:lang w:val="en-US"/>
        </w:rPr>
        <w:t>Red-slipped jug rim; MB II</w:t>
      </w:r>
    </w:p>
    <w:p w14:paraId="0364A64C" w14:textId="77777777" w:rsidR="00E73BD8" w:rsidRPr="00105427" w:rsidRDefault="00E73BD8" w:rsidP="00E73BD8">
      <w:pPr>
        <w:widowControl w:val="0"/>
        <w:autoSpaceDE w:val="0"/>
        <w:autoSpaceDN w:val="0"/>
        <w:adjustRightInd w:val="0"/>
        <w:spacing w:after="0" w:line="240" w:lineRule="auto"/>
        <w:rPr>
          <w:rFonts w:eastAsia="Times New Roman"/>
          <w:sz w:val="22"/>
          <w:lang w:val="en-US"/>
        </w:rPr>
      </w:pPr>
      <w:r w:rsidRPr="00105427">
        <w:rPr>
          <w:rFonts w:eastAsia="Times New Roman"/>
          <w:sz w:val="22"/>
          <w:lang w:val="en-US"/>
        </w:rPr>
        <w:t xml:space="preserve">2.67.L19.B21+.(1) </w:t>
      </w:r>
    </w:p>
    <w:p w14:paraId="474C6709" w14:textId="77777777" w:rsidR="00E73BD8" w:rsidRPr="00105427" w:rsidRDefault="00E73BD8" w:rsidP="00E73BD8">
      <w:pPr>
        <w:widowControl w:val="0"/>
        <w:autoSpaceDE w:val="0"/>
        <w:autoSpaceDN w:val="0"/>
        <w:adjustRightInd w:val="0"/>
        <w:spacing w:after="0" w:line="240" w:lineRule="auto"/>
        <w:rPr>
          <w:rFonts w:eastAsia="Times New Roman"/>
          <w:sz w:val="22"/>
          <w:lang w:val="en-US"/>
        </w:rPr>
      </w:pPr>
      <w:r w:rsidRPr="00105427">
        <w:rPr>
          <w:rFonts w:eastAsia="Times New Roman"/>
          <w:sz w:val="22"/>
          <w:lang w:val="en-US"/>
        </w:rPr>
        <w:t>Harvard Semitic Museum; Israel Antiquities Authority license no. A41/89</w:t>
      </w:r>
    </w:p>
    <w:p w14:paraId="591996CC" w14:textId="77777777" w:rsidR="00E73BD8" w:rsidRPr="00105427" w:rsidRDefault="00E73BD8" w:rsidP="00E73BD8">
      <w:pPr>
        <w:widowControl w:val="0"/>
        <w:autoSpaceDE w:val="0"/>
        <w:autoSpaceDN w:val="0"/>
        <w:adjustRightInd w:val="0"/>
        <w:spacing w:after="0" w:line="240" w:lineRule="auto"/>
        <w:rPr>
          <w:rFonts w:eastAsia="Times New Roman"/>
          <w:sz w:val="22"/>
          <w:lang w:val="en-US"/>
        </w:rPr>
      </w:pPr>
      <w:r w:rsidRPr="00105427">
        <w:rPr>
          <w:rFonts w:eastAsia="Times New Roman"/>
          <w:sz w:val="22"/>
          <w:lang w:val="en-US"/>
        </w:rPr>
        <w:t>NAA Provenience: ?</w:t>
      </w:r>
    </w:p>
    <w:p w14:paraId="45BAF87C" w14:textId="77777777" w:rsidR="00E73BD8" w:rsidRPr="00105427" w:rsidRDefault="00E73BD8" w:rsidP="00E73BD8">
      <w:pPr>
        <w:widowControl w:val="0"/>
        <w:autoSpaceDE w:val="0"/>
        <w:autoSpaceDN w:val="0"/>
        <w:adjustRightInd w:val="0"/>
        <w:spacing w:after="0" w:line="240" w:lineRule="auto"/>
        <w:rPr>
          <w:rFonts w:eastAsia="Times New Roman"/>
          <w:sz w:val="22"/>
          <w:lang w:val="en-US"/>
        </w:rPr>
      </w:pPr>
    </w:p>
    <w:p w14:paraId="30DB87DC" w14:textId="77777777" w:rsidR="00E73BD8" w:rsidRPr="00105427" w:rsidRDefault="00E73BD8" w:rsidP="00E73BD8">
      <w:pPr>
        <w:widowControl w:val="0"/>
        <w:autoSpaceDE w:val="0"/>
        <w:autoSpaceDN w:val="0"/>
        <w:adjustRightInd w:val="0"/>
        <w:spacing w:after="0" w:line="240" w:lineRule="auto"/>
        <w:rPr>
          <w:rFonts w:eastAsia="Times New Roman"/>
          <w:sz w:val="22"/>
          <w:lang w:val="en-US"/>
        </w:rPr>
      </w:pPr>
      <w:r w:rsidRPr="00105427">
        <w:rPr>
          <w:rFonts w:eastAsia="Times New Roman"/>
          <w:sz w:val="22"/>
          <w:lang w:val="en-US"/>
        </w:rPr>
        <w:t>PMG521</w:t>
      </w:r>
    </w:p>
    <w:p w14:paraId="70F7E274" w14:textId="77777777" w:rsidR="00E73BD8" w:rsidRPr="00105427" w:rsidRDefault="00E73BD8" w:rsidP="00E73BD8">
      <w:pPr>
        <w:widowControl w:val="0"/>
        <w:autoSpaceDE w:val="0"/>
        <w:autoSpaceDN w:val="0"/>
        <w:adjustRightInd w:val="0"/>
        <w:spacing w:after="0" w:line="240" w:lineRule="auto"/>
        <w:rPr>
          <w:rFonts w:eastAsia="Times New Roman"/>
          <w:sz w:val="22"/>
          <w:lang w:val="en-US"/>
        </w:rPr>
      </w:pPr>
      <w:r w:rsidRPr="00105427">
        <w:rPr>
          <w:rFonts w:eastAsia="Times New Roman"/>
          <w:sz w:val="22"/>
          <w:lang w:val="en-US"/>
        </w:rPr>
        <w:t>Amphora rim; MB II</w:t>
      </w:r>
    </w:p>
    <w:p w14:paraId="70B76CAE" w14:textId="77777777" w:rsidR="00E73BD8" w:rsidRPr="00105427" w:rsidRDefault="00E73BD8" w:rsidP="00E73BD8">
      <w:pPr>
        <w:widowControl w:val="0"/>
        <w:autoSpaceDE w:val="0"/>
        <w:autoSpaceDN w:val="0"/>
        <w:adjustRightInd w:val="0"/>
        <w:spacing w:after="0" w:line="240" w:lineRule="auto"/>
        <w:rPr>
          <w:rFonts w:eastAsia="Times New Roman"/>
          <w:sz w:val="22"/>
          <w:lang w:val="en-US"/>
        </w:rPr>
      </w:pPr>
      <w:r w:rsidRPr="00105427">
        <w:rPr>
          <w:rFonts w:eastAsia="Times New Roman"/>
          <w:sz w:val="22"/>
          <w:lang w:val="en-US"/>
        </w:rPr>
        <w:t>2.67.L19.B21+.(4)</w:t>
      </w:r>
    </w:p>
    <w:p w14:paraId="47D148D2" w14:textId="77777777" w:rsidR="00E73BD8" w:rsidRPr="00105427" w:rsidRDefault="00E73BD8" w:rsidP="00E73BD8">
      <w:pPr>
        <w:widowControl w:val="0"/>
        <w:autoSpaceDE w:val="0"/>
        <w:autoSpaceDN w:val="0"/>
        <w:adjustRightInd w:val="0"/>
        <w:spacing w:after="0" w:line="240" w:lineRule="auto"/>
        <w:rPr>
          <w:rFonts w:eastAsia="Times New Roman"/>
          <w:sz w:val="22"/>
          <w:lang w:val="en-US"/>
        </w:rPr>
      </w:pPr>
      <w:r w:rsidRPr="00105427">
        <w:rPr>
          <w:rFonts w:eastAsia="Times New Roman"/>
          <w:sz w:val="22"/>
          <w:lang w:val="en-US"/>
        </w:rPr>
        <w:t>Harvard Semitic Museum; Israel Antiquities Authority license no. A41/89</w:t>
      </w:r>
    </w:p>
    <w:p w14:paraId="42E372A3" w14:textId="77777777" w:rsidR="00E73BD8" w:rsidRPr="00105427" w:rsidRDefault="00E73BD8" w:rsidP="00E73BD8">
      <w:pPr>
        <w:widowControl w:val="0"/>
        <w:autoSpaceDE w:val="0"/>
        <w:autoSpaceDN w:val="0"/>
        <w:adjustRightInd w:val="0"/>
        <w:spacing w:after="0" w:line="240" w:lineRule="auto"/>
        <w:rPr>
          <w:rFonts w:eastAsia="Times New Roman"/>
          <w:sz w:val="22"/>
          <w:lang w:val="en-US"/>
        </w:rPr>
      </w:pPr>
      <w:r w:rsidRPr="00105427">
        <w:rPr>
          <w:rFonts w:eastAsia="Times New Roman"/>
          <w:sz w:val="22"/>
          <w:lang w:val="en-US"/>
        </w:rPr>
        <w:t>NAA Provenience: Southern Palestine</w:t>
      </w:r>
    </w:p>
    <w:p w14:paraId="2AB1A298" w14:textId="77777777" w:rsidR="00E73BD8" w:rsidRPr="00105427" w:rsidRDefault="00E73BD8" w:rsidP="00E73BD8">
      <w:pPr>
        <w:widowControl w:val="0"/>
        <w:autoSpaceDE w:val="0"/>
        <w:autoSpaceDN w:val="0"/>
        <w:adjustRightInd w:val="0"/>
        <w:spacing w:after="0" w:line="240" w:lineRule="auto"/>
        <w:rPr>
          <w:rFonts w:eastAsia="Times New Roman"/>
          <w:sz w:val="22"/>
          <w:lang w:val="en-US"/>
        </w:rPr>
      </w:pPr>
    </w:p>
    <w:p w14:paraId="7BB770B7" w14:textId="77777777" w:rsidR="00E73BD8" w:rsidRPr="00105427" w:rsidRDefault="00E73BD8" w:rsidP="00E73BD8">
      <w:pPr>
        <w:widowControl w:val="0"/>
        <w:autoSpaceDE w:val="0"/>
        <w:autoSpaceDN w:val="0"/>
        <w:adjustRightInd w:val="0"/>
        <w:spacing w:after="0" w:line="240" w:lineRule="auto"/>
        <w:rPr>
          <w:rFonts w:eastAsia="Times New Roman"/>
          <w:sz w:val="22"/>
          <w:lang w:val="en-US"/>
        </w:rPr>
      </w:pPr>
      <w:r w:rsidRPr="00105427">
        <w:rPr>
          <w:rFonts w:eastAsia="Times New Roman"/>
          <w:sz w:val="22"/>
          <w:lang w:val="en-US"/>
        </w:rPr>
        <w:t>PMG522</w:t>
      </w:r>
    </w:p>
    <w:p w14:paraId="476C11F8" w14:textId="77777777" w:rsidR="00E73BD8" w:rsidRPr="00105427" w:rsidRDefault="00E73BD8" w:rsidP="00E73BD8">
      <w:pPr>
        <w:widowControl w:val="0"/>
        <w:autoSpaceDE w:val="0"/>
        <w:autoSpaceDN w:val="0"/>
        <w:adjustRightInd w:val="0"/>
        <w:spacing w:after="0" w:line="240" w:lineRule="auto"/>
        <w:rPr>
          <w:rFonts w:eastAsia="Times New Roman"/>
          <w:sz w:val="22"/>
          <w:lang w:val="en-US"/>
        </w:rPr>
      </w:pPr>
      <w:r w:rsidRPr="00105427">
        <w:rPr>
          <w:rFonts w:eastAsia="Times New Roman"/>
          <w:sz w:val="22"/>
          <w:lang w:val="en-US"/>
        </w:rPr>
        <w:t>White-slipped and painted sherd (possibly Chocolate-on-White Ware); MB II</w:t>
      </w:r>
    </w:p>
    <w:p w14:paraId="17FA29BE" w14:textId="77777777" w:rsidR="00E73BD8" w:rsidRPr="00105427" w:rsidRDefault="00E73BD8" w:rsidP="00E73BD8">
      <w:pPr>
        <w:widowControl w:val="0"/>
        <w:autoSpaceDE w:val="0"/>
        <w:autoSpaceDN w:val="0"/>
        <w:adjustRightInd w:val="0"/>
        <w:spacing w:after="0" w:line="240" w:lineRule="auto"/>
        <w:rPr>
          <w:rFonts w:eastAsia="Times New Roman"/>
          <w:sz w:val="22"/>
          <w:lang w:val="en-US"/>
        </w:rPr>
      </w:pPr>
      <w:r w:rsidRPr="00105427">
        <w:rPr>
          <w:rFonts w:eastAsia="Times New Roman"/>
          <w:sz w:val="22"/>
          <w:lang w:val="en-US"/>
        </w:rPr>
        <w:t>2.67.L19.B21+.(21)</w:t>
      </w:r>
    </w:p>
    <w:p w14:paraId="73201EE9" w14:textId="77777777" w:rsidR="00E73BD8" w:rsidRPr="00105427" w:rsidRDefault="00E73BD8" w:rsidP="00E73BD8">
      <w:pPr>
        <w:widowControl w:val="0"/>
        <w:autoSpaceDE w:val="0"/>
        <w:autoSpaceDN w:val="0"/>
        <w:adjustRightInd w:val="0"/>
        <w:spacing w:after="0" w:line="240" w:lineRule="auto"/>
        <w:rPr>
          <w:rFonts w:eastAsia="Times New Roman"/>
          <w:sz w:val="22"/>
          <w:lang w:val="en-US"/>
        </w:rPr>
      </w:pPr>
      <w:r w:rsidRPr="00105427">
        <w:rPr>
          <w:rFonts w:eastAsia="Times New Roman"/>
          <w:sz w:val="22"/>
          <w:lang w:val="en-US"/>
        </w:rPr>
        <w:t>Harvard Semitic Museum; Israel Antiquities Authority license no. A41/89</w:t>
      </w:r>
    </w:p>
    <w:p w14:paraId="324EB606" w14:textId="77777777" w:rsidR="00E73BD8" w:rsidRPr="00105427" w:rsidRDefault="00E73BD8" w:rsidP="00E73BD8">
      <w:pPr>
        <w:widowControl w:val="0"/>
        <w:autoSpaceDE w:val="0"/>
        <w:autoSpaceDN w:val="0"/>
        <w:adjustRightInd w:val="0"/>
        <w:spacing w:after="0" w:line="240" w:lineRule="auto"/>
        <w:rPr>
          <w:rFonts w:eastAsia="Times New Roman"/>
          <w:sz w:val="22"/>
          <w:lang w:val="en-US"/>
        </w:rPr>
      </w:pPr>
      <w:r w:rsidRPr="00105427">
        <w:rPr>
          <w:rFonts w:eastAsia="Times New Roman"/>
          <w:sz w:val="22"/>
          <w:lang w:val="en-US"/>
        </w:rPr>
        <w:t>NAA Provenience: Southern Palestine</w:t>
      </w:r>
    </w:p>
    <w:p w14:paraId="10A9D4E1" w14:textId="77777777" w:rsidR="00E73BD8" w:rsidRPr="00105427" w:rsidRDefault="00E73BD8" w:rsidP="00E73BD8">
      <w:pPr>
        <w:widowControl w:val="0"/>
        <w:autoSpaceDE w:val="0"/>
        <w:autoSpaceDN w:val="0"/>
        <w:adjustRightInd w:val="0"/>
        <w:spacing w:after="0" w:line="240" w:lineRule="auto"/>
        <w:rPr>
          <w:rFonts w:eastAsia="Times New Roman"/>
          <w:sz w:val="22"/>
          <w:lang w:val="en-US"/>
        </w:rPr>
      </w:pPr>
    </w:p>
    <w:p w14:paraId="4879CE0E" w14:textId="77777777" w:rsidR="003A4138" w:rsidRDefault="003A4138">
      <w:pPr>
        <w:spacing w:line="259" w:lineRule="auto"/>
        <w:rPr>
          <w:rFonts w:eastAsia="Times New Roman"/>
          <w:sz w:val="22"/>
          <w:lang w:val="en-US"/>
        </w:rPr>
      </w:pPr>
      <w:r>
        <w:rPr>
          <w:rFonts w:eastAsia="Times New Roman"/>
          <w:sz w:val="22"/>
          <w:lang w:val="en-US"/>
        </w:rPr>
        <w:br w:type="page"/>
      </w:r>
    </w:p>
    <w:p w14:paraId="5E588744" w14:textId="1A624EE8" w:rsidR="00E73BD8" w:rsidRPr="00105427" w:rsidRDefault="00E73BD8" w:rsidP="00E73BD8">
      <w:pPr>
        <w:widowControl w:val="0"/>
        <w:autoSpaceDE w:val="0"/>
        <w:autoSpaceDN w:val="0"/>
        <w:adjustRightInd w:val="0"/>
        <w:spacing w:after="0" w:line="240" w:lineRule="auto"/>
        <w:rPr>
          <w:rFonts w:eastAsia="Times New Roman"/>
          <w:sz w:val="22"/>
          <w:lang w:val="en-US"/>
        </w:rPr>
      </w:pPr>
      <w:r w:rsidRPr="00105427">
        <w:rPr>
          <w:rFonts w:eastAsia="Times New Roman"/>
          <w:sz w:val="22"/>
          <w:lang w:val="en-US"/>
        </w:rPr>
        <w:lastRenderedPageBreak/>
        <w:t>PMG523</w:t>
      </w:r>
    </w:p>
    <w:p w14:paraId="054A1925" w14:textId="77777777" w:rsidR="00E73BD8" w:rsidRPr="00105427" w:rsidRDefault="00E73BD8" w:rsidP="00E73BD8">
      <w:pPr>
        <w:widowControl w:val="0"/>
        <w:autoSpaceDE w:val="0"/>
        <w:autoSpaceDN w:val="0"/>
        <w:adjustRightInd w:val="0"/>
        <w:spacing w:after="0" w:line="240" w:lineRule="auto"/>
        <w:rPr>
          <w:rFonts w:eastAsia="Times New Roman"/>
          <w:sz w:val="22"/>
          <w:lang w:val="en-US"/>
        </w:rPr>
      </w:pPr>
      <w:r w:rsidRPr="00105427">
        <w:rPr>
          <w:rFonts w:eastAsia="Times New Roman"/>
          <w:sz w:val="22"/>
          <w:lang w:val="en-US"/>
        </w:rPr>
        <w:t>Cooking pot rim; MB II</w:t>
      </w:r>
    </w:p>
    <w:p w14:paraId="06B340F7" w14:textId="77777777" w:rsidR="00E73BD8" w:rsidRPr="00105427" w:rsidRDefault="00E73BD8" w:rsidP="00E73BD8">
      <w:pPr>
        <w:widowControl w:val="0"/>
        <w:autoSpaceDE w:val="0"/>
        <w:autoSpaceDN w:val="0"/>
        <w:adjustRightInd w:val="0"/>
        <w:spacing w:after="0" w:line="240" w:lineRule="auto"/>
        <w:rPr>
          <w:rFonts w:eastAsia="Times New Roman"/>
          <w:sz w:val="22"/>
          <w:lang w:val="en-US"/>
        </w:rPr>
      </w:pPr>
      <w:r w:rsidRPr="00105427">
        <w:rPr>
          <w:rFonts w:eastAsia="Times New Roman"/>
          <w:sz w:val="22"/>
          <w:lang w:val="en-US"/>
        </w:rPr>
        <w:t>2.67.L19.B21+.(25)</w:t>
      </w:r>
    </w:p>
    <w:p w14:paraId="25CFF0C4" w14:textId="77777777" w:rsidR="00E73BD8" w:rsidRPr="00105427" w:rsidRDefault="00E73BD8" w:rsidP="00E73BD8">
      <w:pPr>
        <w:widowControl w:val="0"/>
        <w:autoSpaceDE w:val="0"/>
        <w:autoSpaceDN w:val="0"/>
        <w:adjustRightInd w:val="0"/>
        <w:spacing w:after="0" w:line="240" w:lineRule="auto"/>
        <w:rPr>
          <w:rFonts w:eastAsia="Times New Roman"/>
          <w:sz w:val="22"/>
          <w:lang w:val="en-US"/>
        </w:rPr>
      </w:pPr>
      <w:r w:rsidRPr="00105427">
        <w:rPr>
          <w:rFonts w:eastAsia="Times New Roman"/>
          <w:sz w:val="22"/>
          <w:lang w:val="en-US"/>
        </w:rPr>
        <w:t>Harvard Semitic Museum; Israel Antiquities Authority license no. A41/89</w:t>
      </w:r>
    </w:p>
    <w:p w14:paraId="3554490C" w14:textId="77777777" w:rsidR="00E73BD8" w:rsidRPr="00105427" w:rsidRDefault="00E73BD8" w:rsidP="00E73BD8">
      <w:pPr>
        <w:widowControl w:val="0"/>
        <w:autoSpaceDE w:val="0"/>
        <w:autoSpaceDN w:val="0"/>
        <w:adjustRightInd w:val="0"/>
        <w:spacing w:after="0" w:line="240" w:lineRule="auto"/>
        <w:rPr>
          <w:rFonts w:eastAsia="Times New Roman"/>
          <w:sz w:val="22"/>
          <w:lang w:val="en-US"/>
        </w:rPr>
      </w:pPr>
      <w:r w:rsidRPr="00105427">
        <w:rPr>
          <w:rFonts w:eastAsia="Times New Roman"/>
          <w:sz w:val="22"/>
          <w:lang w:val="en-US"/>
        </w:rPr>
        <w:t>NAA Provenience: ?</w:t>
      </w:r>
    </w:p>
    <w:p w14:paraId="7D8333E3" w14:textId="77777777" w:rsidR="00E73BD8" w:rsidRPr="00105427" w:rsidRDefault="00E73BD8" w:rsidP="00E73BD8">
      <w:pPr>
        <w:widowControl w:val="0"/>
        <w:autoSpaceDE w:val="0"/>
        <w:autoSpaceDN w:val="0"/>
        <w:adjustRightInd w:val="0"/>
        <w:spacing w:after="0" w:line="240" w:lineRule="auto"/>
        <w:rPr>
          <w:rFonts w:eastAsia="Times New Roman"/>
          <w:sz w:val="22"/>
          <w:lang w:val="en-US"/>
        </w:rPr>
      </w:pPr>
    </w:p>
    <w:p w14:paraId="2D6A8633" w14:textId="77777777" w:rsidR="00E73BD8" w:rsidRPr="00105427" w:rsidRDefault="00E73BD8" w:rsidP="00E73BD8">
      <w:pPr>
        <w:widowControl w:val="0"/>
        <w:autoSpaceDE w:val="0"/>
        <w:autoSpaceDN w:val="0"/>
        <w:adjustRightInd w:val="0"/>
        <w:spacing w:after="0" w:line="240" w:lineRule="auto"/>
        <w:rPr>
          <w:rFonts w:eastAsia="Times New Roman"/>
          <w:sz w:val="22"/>
          <w:lang w:val="en-US"/>
        </w:rPr>
      </w:pPr>
      <w:r w:rsidRPr="00105427">
        <w:rPr>
          <w:rFonts w:eastAsia="Times New Roman"/>
          <w:sz w:val="22"/>
          <w:lang w:val="en-US"/>
        </w:rPr>
        <w:t>PMG524</w:t>
      </w:r>
    </w:p>
    <w:p w14:paraId="6AAB1A62" w14:textId="77777777" w:rsidR="00E73BD8" w:rsidRPr="00105427" w:rsidRDefault="00E73BD8" w:rsidP="00E73BD8">
      <w:pPr>
        <w:widowControl w:val="0"/>
        <w:autoSpaceDE w:val="0"/>
        <w:autoSpaceDN w:val="0"/>
        <w:adjustRightInd w:val="0"/>
        <w:spacing w:after="0" w:line="240" w:lineRule="auto"/>
        <w:rPr>
          <w:rFonts w:eastAsia="Times New Roman"/>
          <w:sz w:val="22"/>
          <w:lang w:val="en-US"/>
        </w:rPr>
      </w:pPr>
      <w:r w:rsidRPr="00105427">
        <w:rPr>
          <w:rFonts w:eastAsia="Times New Roman"/>
          <w:sz w:val="22"/>
          <w:lang w:val="en-US"/>
        </w:rPr>
        <w:t>Painted jug rim; MB II</w:t>
      </w:r>
    </w:p>
    <w:p w14:paraId="412002DC" w14:textId="77777777" w:rsidR="00E73BD8" w:rsidRPr="00105427" w:rsidRDefault="00E73BD8" w:rsidP="00E73BD8">
      <w:pPr>
        <w:widowControl w:val="0"/>
        <w:autoSpaceDE w:val="0"/>
        <w:autoSpaceDN w:val="0"/>
        <w:adjustRightInd w:val="0"/>
        <w:spacing w:after="0" w:line="240" w:lineRule="auto"/>
        <w:rPr>
          <w:rFonts w:eastAsia="Times New Roman"/>
          <w:sz w:val="22"/>
          <w:lang w:val="en-US"/>
        </w:rPr>
      </w:pPr>
      <w:r w:rsidRPr="00105427">
        <w:rPr>
          <w:rFonts w:eastAsia="Times New Roman"/>
          <w:sz w:val="22"/>
          <w:lang w:val="en-US"/>
        </w:rPr>
        <w:t>2.76.L163.F163.B11+.(17)</w:t>
      </w:r>
    </w:p>
    <w:p w14:paraId="041A82EC" w14:textId="77777777" w:rsidR="00E73BD8" w:rsidRPr="00105427" w:rsidRDefault="00E73BD8" w:rsidP="00E73BD8">
      <w:pPr>
        <w:widowControl w:val="0"/>
        <w:autoSpaceDE w:val="0"/>
        <w:autoSpaceDN w:val="0"/>
        <w:adjustRightInd w:val="0"/>
        <w:spacing w:after="0" w:line="240" w:lineRule="auto"/>
        <w:rPr>
          <w:rFonts w:eastAsia="Times New Roman"/>
          <w:sz w:val="22"/>
          <w:lang w:val="en-US"/>
        </w:rPr>
      </w:pPr>
      <w:r w:rsidRPr="00105427">
        <w:rPr>
          <w:rFonts w:eastAsia="Times New Roman"/>
          <w:sz w:val="22"/>
          <w:lang w:val="en-US"/>
        </w:rPr>
        <w:t>Harvard Semitic Museum; Israel Antiquities Authority license no. A41/89</w:t>
      </w:r>
    </w:p>
    <w:p w14:paraId="081D58C7" w14:textId="77777777" w:rsidR="00E73BD8" w:rsidRPr="00105427" w:rsidRDefault="00E73BD8" w:rsidP="00E73BD8">
      <w:pPr>
        <w:widowControl w:val="0"/>
        <w:autoSpaceDE w:val="0"/>
        <w:autoSpaceDN w:val="0"/>
        <w:adjustRightInd w:val="0"/>
        <w:spacing w:after="0" w:line="240" w:lineRule="auto"/>
        <w:rPr>
          <w:rFonts w:eastAsia="Times New Roman"/>
          <w:sz w:val="22"/>
          <w:lang w:val="en-US"/>
        </w:rPr>
      </w:pPr>
      <w:r w:rsidRPr="00105427">
        <w:rPr>
          <w:rFonts w:eastAsia="Times New Roman"/>
          <w:sz w:val="22"/>
          <w:lang w:val="en-US"/>
        </w:rPr>
        <w:t>NAA Provenience: Southern Palestine</w:t>
      </w:r>
    </w:p>
    <w:p w14:paraId="68E370E1" w14:textId="77777777" w:rsidR="00E73BD8" w:rsidRPr="00105427" w:rsidRDefault="00E73BD8" w:rsidP="00E73BD8">
      <w:pPr>
        <w:widowControl w:val="0"/>
        <w:autoSpaceDE w:val="0"/>
        <w:autoSpaceDN w:val="0"/>
        <w:adjustRightInd w:val="0"/>
        <w:spacing w:after="0" w:line="240" w:lineRule="auto"/>
        <w:rPr>
          <w:rFonts w:eastAsia="Times New Roman"/>
          <w:sz w:val="22"/>
          <w:lang w:val="en-US"/>
        </w:rPr>
      </w:pPr>
    </w:p>
    <w:p w14:paraId="786E567B" w14:textId="77777777" w:rsidR="00E73BD8" w:rsidRPr="00105427" w:rsidRDefault="00E73BD8" w:rsidP="00E73BD8">
      <w:pPr>
        <w:widowControl w:val="0"/>
        <w:autoSpaceDE w:val="0"/>
        <w:autoSpaceDN w:val="0"/>
        <w:adjustRightInd w:val="0"/>
        <w:spacing w:after="0" w:line="240" w:lineRule="auto"/>
        <w:rPr>
          <w:rFonts w:eastAsia="Times New Roman"/>
          <w:sz w:val="22"/>
          <w:lang w:val="en-US"/>
        </w:rPr>
      </w:pPr>
      <w:r w:rsidRPr="00105427">
        <w:rPr>
          <w:rFonts w:eastAsia="Times New Roman"/>
          <w:sz w:val="22"/>
          <w:lang w:val="en-US"/>
        </w:rPr>
        <w:t>PMG525</w:t>
      </w:r>
    </w:p>
    <w:p w14:paraId="3BF8985B" w14:textId="77777777" w:rsidR="00E73BD8" w:rsidRPr="00105427" w:rsidRDefault="00E73BD8" w:rsidP="00E73BD8">
      <w:pPr>
        <w:widowControl w:val="0"/>
        <w:autoSpaceDE w:val="0"/>
        <w:autoSpaceDN w:val="0"/>
        <w:adjustRightInd w:val="0"/>
        <w:spacing w:after="0" w:line="240" w:lineRule="auto"/>
        <w:rPr>
          <w:rFonts w:eastAsia="Times New Roman"/>
          <w:sz w:val="22"/>
          <w:lang w:val="en-US"/>
        </w:rPr>
      </w:pPr>
      <w:r w:rsidRPr="00105427">
        <w:rPr>
          <w:rFonts w:eastAsia="Times New Roman"/>
          <w:sz w:val="22"/>
          <w:lang w:val="en-US"/>
        </w:rPr>
        <w:t>Red-slipped body sherd; MB II</w:t>
      </w:r>
    </w:p>
    <w:p w14:paraId="4AF9B5A6" w14:textId="77777777" w:rsidR="00E73BD8" w:rsidRPr="00105427" w:rsidRDefault="00E73BD8" w:rsidP="00E73BD8">
      <w:pPr>
        <w:widowControl w:val="0"/>
        <w:autoSpaceDE w:val="0"/>
        <w:autoSpaceDN w:val="0"/>
        <w:adjustRightInd w:val="0"/>
        <w:spacing w:after="0" w:line="240" w:lineRule="auto"/>
        <w:rPr>
          <w:rFonts w:eastAsia="Times New Roman"/>
          <w:sz w:val="22"/>
          <w:lang w:val="en-US"/>
        </w:rPr>
      </w:pPr>
      <w:r w:rsidRPr="00105427">
        <w:rPr>
          <w:rFonts w:eastAsia="Times New Roman"/>
          <w:sz w:val="22"/>
          <w:lang w:val="en-US"/>
        </w:rPr>
        <w:t xml:space="preserve">2.76.L163.F163.B11+.(27) </w:t>
      </w:r>
    </w:p>
    <w:p w14:paraId="68BA6BEE" w14:textId="77777777" w:rsidR="00E73BD8" w:rsidRPr="00105427" w:rsidRDefault="00E73BD8" w:rsidP="00E73BD8">
      <w:pPr>
        <w:widowControl w:val="0"/>
        <w:autoSpaceDE w:val="0"/>
        <w:autoSpaceDN w:val="0"/>
        <w:adjustRightInd w:val="0"/>
        <w:spacing w:after="0" w:line="240" w:lineRule="auto"/>
        <w:rPr>
          <w:rFonts w:eastAsia="Times New Roman"/>
          <w:sz w:val="22"/>
          <w:lang w:val="en-US"/>
        </w:rPr>
      </w:pPr>
      <w:r w:rsidRPr="00105427">
        <w:rPr>
          <w:rFonts w:eastAsia="Times New Roman"/>
          <w:sz w:val="22"/>
          <w:lang w:val="en-US"/>
        </w:rPr>
        <w:t>Harvard Semitic Museum; Israel Antiquities Authority license no. A41/89</w:t>
      </w:r>
    </w:p>
    <w:p w14:paraId="52CB865E" w14:textId="77777777" w:rsidR="00E73BD8" w:rsidRPr="00105427" w:rsidRDefault="00E73BD8" w:rsidP="00E73BD8">
      <w:pPr>
        <w:widowControl w:val="0"/>
        <w:autoSpaceDE w:val="0"/>
        <w:autoSpaceDN w:val="0"/>
        <w:adjustRightInd w:val="0"/>
        <w:spacing w:after="0" w:line="240" w:lineRule="auto"/>
        <w:rPr>
          <w:rFonts w:eastAsia="Times New Roman"/>
          <w:sz w:val="22"/>
          <w:lang w:val="en-US"/>
        </w:rPr>
      </w:pPr>
    </w:p>
    <w:p w14:paraId="64EE961E" w14:textId="77777777" w:rsidR="00E73BD8" w:rsidRPr="00105427" w:rsidRDefault="00E73BD8" w:rsidP="00E73BD8">
      <w:pPr>
        <w:widowControl w:val="0"/>
        <w:autoSpaceDE w:val="0"/>
        <w:autoSpaceDN w:val="0"/>
        <w:adjustRightInd w:val="0"/>
        <w:spacing w:after="0" w:line="240" w:lineRule="auto"/>
        <w:rPr>
          <w:rFonts w:eastAsia="Times New Roman"/>
          <w:sz w:val="22"/>
          <w:lang w:val="en-US"/>
        </w:rPr>
      </w:pPr>
      <w:r w:rsidRPr="00105427">
        <w:rPr>
          <w:rFonts w:eastAsia="Times New Roman"/>
          <w:sz w:val="22"/>
          <w:lang w:val="en-US"/>
        </w:rPr>
        <w:t>PMG526</w:t>
      </w:r>
    </w:p>
    <w:p w14:paraId="3001F22A" w14:textId="77777777" w:rsidR="00E73BD8" w:rsidRPr="00105427" w:rsidRDefault="00E73BD8" w:rsidP="00E73BD8">
      <w:pPr>
        <w:widowControl w:val="0"/>
        <w:autoSpaceDE w:val="0"/>
        <w:autoSpaceDN w:val="0"/>
        <w:adjustRightInd w:val="0"/>
        <w:spacing w:after="0" w:line="240" w:lineRule="auto"/>
        <w:rPr>
          <w:rFonts w:eastAsia="Times New Roman"/>
          <w:b/>
          <w:bCs/>
          <w:sz w:val="22"/>
          <w:lang w:val="en-US"/>
        </w:rPr>
      </w:pPr>
      <w:r w:rsidRPr="00105427">
        <w:rPr>
          <w:rFonts w:eastAsia="Times New Roman"/>
          <w:sz w:val="22"/>
          <w:lang w:val="en-US"/>
        </w:rPr>
        <w:t>Painted body sherd; MB II</w:t>
      </w:r>
    </w:p>
    <w:p w14:paraId="55B3F2FF" w14:textId="77777777" w:rsidR="00E73BD8" w:rsidRPr="00105427" w:rsidRDefault="00E73BD8" w:rsidP="00E73BD8">
      <w:pPr>
        <w:widowControl w:val="0"/>
        <w:autoSpaceDE w:val="0"/>
        <w:autoSpaceDN w:val="0"/>
        <w:adjustRightInd w:val="0"/>
        <w:spacing w:after="0" w:line="240" w:lineRule="auto"/>
        <w:rPr>
          <w:rFonts w:eastAsia="Times New Roman"/>
          <w:b/>
          <w:bCs/>
          <w:sz w:val="22"/>
          <w:lang w:val="en-US"/>
        </w:rPr>
      </w:pPr>
      <w:r w:rsidRPr="00105427">
        <w:rPr>
          <w:rFonts w:eastAsia="Times New Roman"/>
          <w:sz w:val="22"/>
          <w:lang w:val="en-US"/>
        </w:rPr>
        <w:t>2.76.L163.F163.B11+.(29</w:t>
      </w:r>
    </w:p>
    <w:p w14:paraId="737E1440" w14:textId="77777777" w:rsidR="00E73BD8" w:rsidRPr="00105427" w:rsidRDefault="00E73BD8" w:rsidP="00E73BD8">
      <w:pPr>
        <w:widowControl w:val="0"/>
        <w:autoSpaceDE w:val="0"/>
        <w:autoSpaceDN w:val="0"/>
        <w:adjustRightInd w:val="0"/>
        <w:spacing w:after="0" w:line="240" w:lineRule="auto"/>
        <w:rPr>
          <w:rFonts w:eastAsia="Times New Roman"/>
          <w:sz w:val="22"/>
          <w:lang w:val="en-US"/>
        </w:rPr>
      </w:pPr>
      <w:r w:rsidRPr="00105427">
        <w:rPr>
          <w:rFonts w:eastAsia="Times New Roman"/>
          <w:sz w:val="22"/>
          <w:lang w:val="en-US"/>
        </w:rPr>
        <w:t>Harvard Semitic Museum; Israel Antiquities Authority license no. A41/89</w:t>
      </w:r>
    </w:p>
    <w:p w14:paraId="46DBBF81" w14:textId="77777777" w:rsidR="00E73BD8" w:rsidRPr="00105427" w:rsidRDefault="00E73BD8" w:rsidP="00E73BD8">
      <w:pPr>
        <w:widowControl w:val="0"/>
        <w:autoSpaceDE w:val="0"/>
        <w:autoSpaceDN w:val="0"/>
        <w:adjustRightInd w:val="0"/>
        <w:spacing w:after="0" w:line="240" w:lineRule="auto"/>
        <w:rPr>
          <w:rFonts w:eastAsia="Times New Roman"/>
          <w:sz w:val="22"/>
          <w:lang w:val="en-US"/>
        </w:rPr>
      </w:pPr>
      <w:r w:rsidRPr="00105427">
        <w:rPr>
          <w:rFonts w:eastAsia="Times New Roman"/>
          <w:sz w:val="22"/>
          <w:lang w:val="en-US"/>
        </w:rPr>
        <w:t>NAA Provenience: Probably Southern Palestine</w:t>
      </w:r>
    </w:p>
    <w:p w14:paraId="774E9333" w14:textId="77777777" w:rsidR="00E73BD8" w:rsidRPr="00105427" w:rsidRDefault="00E73BD8" w:rsidP="00E73BD8">
      <w:pPr>
        <w:widowControl w:val="0"/>
        <w:autoSpaceDE w:val="0"/>
        <w:autoSpaceDN w:val="0"/>
        <w:adjustRightInd w:val="0"/>
        <w:spacing w:after="0" w:line="240" w:lineRule="auto"/>
        <w:rPr>
          <w:rFonts w:eastAsia="Times New Roman"/>
          <w:sz w:val="22"/>
          <w:lang w:val="en-US"/>
        </w:rPr>
      </w:pPr>
    </w:p>
    <w:p w14:paraId="1C71F57A" w14:textId="77777777" w:rsidR="00E73BD8" w:rsidRPr="00105427" w:rsidRDefault="00E73BD8" w:rsidP="00E73BD8">
      <w:pPr>
        <w:widowControl w:val="0"/>
        <w:autoSpaceDE w:val="0"/>
        <w:autoSpaceDN w:val="0"/>
        <w:adjustRightInd w:val="0"/>
        <w:spacing w:after="0" w:line="240" w:lineRule="auto"/>
        <w:rPr>
          <w:rFonts w:eastAsia="Times New Roman"/>
          <w:sz w:val="22"/>
          <w:lang w:val="en-US"/>
        </w:rPr>
      </w:pPr>
      <w:r w:rsidRPr="00105427">
        <w:rPr>
          <w:rFonts w:eastAsia="Times New Roman"/>
          <w:sz w:val="22"/>
          <w:lang w:val="en-US"/>
        </w:rPr>
        <w:t>PMG527</w:t>
      </w:r>
    </w:p>
    <w:p w14:paraId="5AE31D2A" w14:textId="77777777" w:rsidR="00E73BD8" w:rsidRPr="00105427" w:rsidRDefault="00E73BD8" w:rsidP="00E73BD8">
      <w:pPr>
        <w:widowControl w:val="0"/>
        <w:autoSpaceDE w:val="0"/>
        <w:autoSpaceDN w:val="0"/>
        <w:adjustRightInd w:val="0"/>
        <w:spacing w:after="0" w:line="240" w:lineRule="auto"/>
        <w:rPr>
          <w:rFonts w:eastAsia="Times New Roman"/>
          <w:sz w:val="22"/>
          <w:lang w:val="en-US"/>
        </w:rPr>
      </w:pPr>
      <w:r w:rsidRPr="00105427">
        <w:rPr>
          <w:rFonts w:eastAsia="Times New Roman"/>
          <w:sz w:val="22"/>
          <w:lang w:val="en-US"/>
        </w:rPr>
        <w:t>Red-slipped and burnished bowl; MB II</w:t>
      </w:r>
    </w:p>
    <w:p w14:paraId="55E2B7E9" w14:textId="77777777" w:rsidR="00E73BD8" w:rsidRPr="00105427" w:rsidRDefault="00E73BD8" w:rsidP="00E73BD8">
      <w:pPr>
        <w:widowControl w:val="0"/>
        <w:autoSpaceDE w:val="0"/>
        <w:autoSpaceDN w:val="0"/>
        <w:adjustRightInd w:val="0"/>
        <w:spacing w:after="0" w:line="240" w:lineRule="auto"/>
        <w:rPr>
          <w:rFonts w:eastAsia="Times New Roman"/>
          <w:sz w:val="22"/>
          <w:lang w:val="en-US"/>
        </w:rPr>
      </w:pPr>
      <w:r w:rsidRPr="00105427">
        <w:rPr>
          <w:rFonts w:eastAsia="Times New Roman"/>
          <w:sz w:val="22"/>
          <w:lang w:val="en-US"/>
        </w:rPr>
        <w:t>2.76.L163.F163.B11+.(33)</w:t>
      </w:r>
    </w:p>
    <w:p w14:paraId="75B655CF" w14:textId="77777777" w:rsidR="00E73BD8" w:rsidRPr="00105427" w:rsidRDefault="00E73BD8" w:rsidP="00E73BD8">
      <w:pPr>
        <w:widowControl w:val="0"/>
        <w:autoSpaceDE w:val="0"/>
        <w:autoSpaceDN w:val="0"/>
        <w:adjustRightInd w:val="0"/>
        <w:spacing w:after="0" w:line="240" w:lineRule="auto"/>
        <w:rPr>
          <w:rFonts w:eastAsia="Times New Roman"/>
          <w:sz w:val="22"/>
          <w:lang w:val="en-US"/>
        </w:rPr>
      </w:pPr>
      <w:r w:rsidRPr="00105427">
        <w:rPr>
          <w:rFonts w:eastAsia="Times New Roman"/>
          <w:sz w:val="22"/>
          <w:lang w:val="en-US"/>
        </w:rPr>
        <w:t>Harvard Semitic Museum; Israel Antiquities Authority license no. A41/89</w:t>
      </w:r>
    </w:p>
    <w:p w14:paraId="6F06E32D" w14:textId="77777777" w:rsidR="00E73BD8" w:rsidRPr="00105427" w:rsidRDefault="00E73BD8" w:rsidP="00E73BD8">
      <w:pPr>
        <w:widowControl w:val="0"/>
        <w:autoSpaceDE w:val="0"/>
        <w:autoSpaceDN w:val="0"/>
        <w:adjustRightInd w:val="0"/>
        <w:spacing w:after="0" w:line="240" w:lineRule="auto"/>
        <w:rPr>
          <w:rFonts w:eastAsia="Times New Roman"/>
          <w:sz w:val="22"/>
          <w:lang w:val="en-US"/>
        </w:rPr>
      </w:pPr>
      <w:r w:rsidRPr="00105427">
        <w:rPr>
          <w:rFonts w:eastAsia="Times New Roman"/>
          <w:sz w:val="22"/>
          <w:lang w:val="en-US"/>
        </w:rPr>
        <w:t>NAA Provenience: Southern Palestine</w:t>
      </w:r>
    </w:p>
    <w:p w14:paraId="764634A6" w14:textId="77777777" w:rsidR="00E73BD8" w:rsidRPr="00105427" w:rsidRDefault="00E73BD8" w:rsidP="00E73BD8">
      <w:pPr>
        <w:widowControl w:val="0"/>
        <w:autoSpaceDE w:val="0"/>
        <w:autoSpaceDN w:val="0"/>
        <w:adjustRightInd w:val="0"/>
        <w:spacing w:after="0" w:line="240" w:lineRule="auto"/>
        <w:rPr>
          <w:rFonts w:eastAsia="Times New Roman"/>
          <w:sz w:val="22"/>
          <w:lang w:val="en-US"/>
        </w:rPr>
      </w:pPr>
    </w:p>
    <w:p w14:paraId="7E5EB585" w14:textId="77777777" w:rsidR="00E73BD8" w:rsidRPr="00105427" w:rsidRDefault="00E73BD8" w:rsidP="00E73BD8">
      <w:pPr>
        <w:widowControl w:val="0"/>
        <w:autoSpaceDE w:val="0"/>
        <w:autoSpaceDN w:val="0"/>
        <w:adjustRightInd w:val="0"/>
        <w:spacing w:after="0" w:line="240" w:lineRule="auto"/>
        <w:rPr>
          <w:rFonts w:eastAsia="Times New Roman"/>
          <w:sz w:val="22"/>
          <w:lang w:val="en-US"/>
        </w:rPr>
      </w:pPr>
      <w:r w:rsidRPr="00105427">
        <w:rPr>
          <w:rFonts w:eastAsia="Times New Roman"/>
          <w:sz w:val="22"/>
          <w:lang w:val="en-US"/>
        </w:rPr>
        <w:t>PMG528</w:t>
      </w:r>
    </w:p>
    <w:p w14:paraId="12669AD7" w14:textId="77777777" w:rsidR="00E73BD8" w:rsidRPr="00105427" w:rsidRDefault="00E73BD8" w:rsidP="00E73BD8">
      <w:pPr>
        <w:widowControl w:val="0"/>
        <w:autoSpaceDE w:val="0"/>
        <w:autoSpaceDN w:val="0"/>
        <w:adjustRightInd w:val="0"/>
        <w:spacing w:after="0" w:line="240" w:lineRule="auto"/>
        <w:rPr>
          <w:rFonts w:eastAsia="Times New Roman"/>
          <w:sz w:val="22"/>
          <w:lang w:val="en-US"/>
        </w:rPr>
      </w:pPr>
      <w:r w:rsidRPr="00105427">
        <w:rPr>
          <w:rFonts w:eastAsia="Times New Roman"/>
          <w:sz w:val="22"/>
          <w:lang w:val="en-US"/>
        </w:rPr>
        <w:t>Red-slipped and burnished bowl; MB II</w:t>
      </w:r>
    </w:p>
    <w:p w14:paraId="054EF6C3" w14:textId="77777777" w:rsidR="00E73BD8" w:rsidRPr="00105427" w:rsidRDefault="00E73BD8" w:rsidP="00E73BD8">
      <w:pPr>
        <w:widowControl w:val="0"/>
        <w:autoSpaceDE w:val="0"/>
        <w:autoSpaceDN w:val="0"/>
        <w:adjustRightInd w:val="0"/>
        <w:spacing w:after="0" w:line="240" w:lineRule="auto"/>
        <w:rPr>
          <w:rFonts w:eastAsia="Times New Roman"/>
          <w:sz w:val="22"/>
          <w:lang w:val="en-US"/>
        </w:rPr>
      </w:pPr>
      <w:r w:rsidRPr="00105427">
        <w:rPr>
          <w:rFonts w:eastAsia="Times New Roman"/>
          <w:sz w:val="22"/>
          <w:lang w:val="en-US"/>
        </w:rPr>
        <w:t>2.76.L163.F163.B38+.(8)</w:t>
      </w:r>
    </w:p>
    <w:p w14:paraId="415D4359" w14:textId="77777777" w:rsidR="00E73BD8" w:rsidRPr="00105427" w:rsidRDefault="00E73BD8" w:rsidP="00E73BD8">
      <w:pPr>
        <w:widowControl w:val="0"/>
        <w:autoSpaceDE w:val="0"/>
        <w:autoSpaceDN w:val="0"/>
        <w:adjustRightInd w:val="0"/>
        <w:spacing w:after="0" w:line="240" w:lineRule="auto"/>
        <w:rPr>
          <w:rFonts w:eastAsia="Times New Roman"/>
          <w:sz w:val="22"/>
          <w:lang w:val="en-US"/>
        </w:rPr>
      </w:pPr>
      <w:r w:rsidRPr="00105427">
        <w:rPr>
          <w:rFonts w:eastAsia="Times New Roman"/>
          <w:sz w:val="22"/>
          <w:lang w:val="en-US"/>
        </w:rPr>
        <w:t>Harvard Semitic Museum; Israel Antiquities Authority license no. A41/89</w:t>
      </w:r>
    </w:p>
    <w:p w14:paraId="31ED8320" w14:textId="77777777" w:rsidR="00E73BD8" w:rsidRPr="00105427" w:rsidRDefault="00E73BD8" w:rsidP="00E73BD8">
      <w:pPr>
        <w:widowControl w:val="0"/>
        <w:autoSpaceDE w:val="0"/>
        <w:autoSpaceDN w:val="0"/>
        <w:adjustRightInd w:val="0"/>
        <w:spacing w:after="0" w:line="240" w:lineRule="auto"/>
        <w:rPr>
          <w:rFonts w:eastAsia="Times New Roman"/>
          <w:sz w:val="22"/>
          <w:lang w:val="en-US"/>
        </w:rPr>
      </w:pPr>
      <w:r w:rsidRPr="00105427">
        <w:rPr>
          <w:rFonts w:eastAsia="Times New Roman"/>
          <w:sz w:val="22"/>
          <w:lang w:val="en-US"/>
        </w:rPr>
        <w:t>NAA Provenience: Southern Palestine</w:t>
      </w:r>
    </w:p>
    <w:p w14:paraId="7FCC3BA3" w14:textId="77777777" w:rsidR="00E73BD8" w:rsidRPr="00105427" w:rsidRDefault="00E73BD8" w:rsidP="00E73BD8">
      <w:pPr>
        <w:widowControl w:val="0"/>
        <w:autoSpaceDE w:val="0"/>
        <w:autoSpaceDN w:val="0"/>
        <w:adjustRightInd w:val="0"/>
        <w:spacing w:after="0" w:line="240" w:lineRule="auto"/>
        <w:rPr>
          <w:rFonts w:eastAsia="Times New Roman"/>
          <w:sz w:val="22"/>
          <w:lang w:val="en-US"/>
        </w:rPr>
      </w:pPr>
    </w:p>
    <w:p w14:paraId="5918D453" w14:textId="77777777" w:rsidR="00E73BD8" w:rsidRPr="00105427" w:rsidRDefault="00E73BD8" w:rsidP="00E73BD8">
      <w:pPr>
        <w:widowControl w:val="0"/>
        <w:autoSpaceDE w:val="0"/>
        <w:autoSpaceDN w:val="0"/>
        <w:adjustRightInd w:val="0"/>
        <w:spacing w:after="0" w:line="240" w:lineRule="auto"/>
        <w:rPr>
          <w:rFonts w:eastAsia="Times New Roman"/>
          <w:sz w:val="22"/>
          <w:lang w:val="en-US"/>
        </w:rPr>
      </w:pPr>
      <w:r w:rsidRPr="00105427">
        <w:rPr>
          <w:rFonts w:eastAsia="Times New Roman"/>
          <w:sz w:val="22"/>
          <w:lang w:val="en-US"/>
        </w:rPr>
        <w:t>PMG529</w:t>
      </w:r>
    </w:p>
    <w:p w14:paraId="28965496" w14:textId="77777777" w:rsidR="00E73BD8" w:rsidRPr="00105427" w:rsidRDefault="00E73BD8" w:rsidP="00E73BD8">
      <w:pPr>
        <w:widowControl w:val="0"/>
        <w:autoSpaceDE w:val="0"/>
        <w:autoSpaceDN w:val="0"/>
        <w:adjustRightInd w:val="0"/>
        <w:spacing w:after="0" w:line="240" w:lineRule="auto"/>
        <w:rPr>
          <w:rFonts w:eastAsia="Times New Roman"/>
          <w:sz w:val="22"/>
          <w:lang w:val="en-US"/>
        </w:rPr>
      </w:pPr>
      <w:r w:rsidRPr="00105427">
        <w:rPr>
          <w:rFonts w:eastAsia="Times New Roman"/>
          <w:sz w:val="22"/>
          <w:lang w:val="en-US"/>
        </w:rPr>
        <w:t>White-slipped jug rim and neck (possibly Chocolate-on-White Ware); MB II</w:t>
      </w:r>
    </w:p>
    <w:p w14:paraId="2A37CF91" w14:textId="77777777" w:rsidR="00E73BD8" w:rsidRPr="00105427" w:rsidRDefault="00E73BD8" w:rsidP="00E73BD8">
      <w:pPr>
        <w:widowControl w:val="0"/>
        <w:autoSpaceDE w:val="0"/>
        <w:autoSpaceDN w:val="0"/>
        <w:adjustRightInd w:val="0"/>
        <w:spacing w:after="0" w:line="240" w:lineRule="auto"/>
        <w:rPr>
          <w:rFonts w:eastAsia="Times New Roman"/>
          <w:sz w:val="22"/>
          <w:lang w:val="en-US"/>
        </w:rPr>
      </w:pPr>
      <w:r w:rsidRPr="00105427">
        <w:rPr>
          <w:rFonts w:eastAsia="Times New Roman"/>
          <w:sz w:val="22"/>
          <w:lang w:val="en-US"/>
        </w:rPr>
        <w:t>2.76.L166.B21+.(2)</w:t>
      </w:r>
    </w:p>
    <w:p w14:paraId="3A22B5AF" w14:textId="77777777" w:rsidR="00E73BD8" w:rsidRPr="00105427" w:rsidRDefault="00E73BD8" w:rsidP="00E73BD8">
      <w:pPr>
        <w:widowControl w:val="0"/>
        <w:autoSpaceDE w:val="0"/>
        <w:autoSpaceDN w:val="0"/>
        <w:adjustRightInd w:val="0"/>
        <w:spacing w:after="0" w:line="240" w:lineRule="auto"/>
        <w:rPr>
          <w:rFonts w:eastAsia="Times New Roman"/>
          <w:sz w:val="22"/>
          <w:lang w:val="en-US"/>
        </w:rPr>
      </w:pPr>
      <w:r w:rsidRPr="00105427">
        <w:rPr>
          <w:rFonts w:eastAsia="Times New Roman"/>
          <w:sz w:val="22"/>
          <w:lang w:val="en-US"/>
        </w:rPr>
        <w:lastRenderedPageBreak/>
        <w:t>Harvard Semitic Museum; Israel Antiquities Authority license no. A41/89</w:t>
      </w:r>
    </w:p>
    <w:p w14:paraId="60A0C367" w14:textId="77777777" w:rsidR="00E73BD8" w:rsidRPr="00105427" w:rsidRDefault="00E73BD8" w:rsidP="00E73BD8">
      <w:pPr>
        <w:widowControl w:val="0"/>
        <w:autoSpaceDE w:val="0"/>
        <w:autoSpaceDN w:val="0"/>
        <w:adjustRightInd w:val="0"/>
        <w:spacing w:after="0" w:line="240" w:lineRule="auto"/>
        <w:rPr>
          <w:rFonts w:eastAsia="Times New Roman"/>
          <w:sz w:val="22"/>
          <w:lang w:val="en-US"/>
        </w:rPr>
      </w:pPr>
      <w:r w:rsidRPr="00105427">
        <w:rPr>
          <w:rFonts w:eastAsia="Times New Roman"/>
          <w:sz w:val="22"/>
          <w:lang w:val="en-US"/>
        </w:rPr>
        <w:t>NAA Provenience: Southern Palestine</w:t>
      </w:r>
    </w:p>
    <w:p w14:paraId="1275358A" w14:textId="77777777" w:rsidR="00E73BD8" w:rsidRPr="00105427" w:rsidRDefault="00E73BD8" w:rsidP="00E73BD8">
      <w:pPr>
        <w:widowControl w:val="0"/>
        <w:autoSpaceDE w:val="0"/>
        <w:autoSpaceDN w:val="0"/>
        <w:adjustRightInd w:val="0"/>
        <w:spacing w:after="0" w:line="240" w:lineRule="auto"/>
        <w:rPr>
          <w:rFonts w:eastAsia="Times New Roman"/>
          <w:sz w:val="22"/>
          <w:lang w:val="en-US"/>
        </w:rPr>
      </w:pPr>
    </w:p>
    <w:p w14:paraId="3593B0EC" w14:textId="77777777" w:rsidR="00E73BD8" w:rsidRPr="00105427" w:rsidRDefault="00E73BD8" w:rsidP="00E73BD8">
      <w:pPr>
        <w:widowControl w:val="0"/>
        <w:autoSpaceDE w:val="0"/>
        <w:autoSpaceDN w:val="0"/>
        <w:adjustRightInd w:val="0"/>
        <w:spacing w:after="0" w:line="240" w:lineRule="auto"/>
        <w:rPr>
          <w:rFonts w:eastAsia="Times New Roman"/>
          <w:sz w:val="22"/>
          <w:lang w:val="en-US"/>
        </w:rPr>
      </w:pPr>
      <w:r w:rsidRPr="00105427">
        <w:rPr>
          <w:rFonts w:eastAsia="Times New Roman"/>
          <w:sz w:val="22"/>
          <w:lang w:val="en-US"/>
        </w:rPr>
        <w:t>PMG530</w:t>
      </w:r>
    </w:p>
    <w:p w14:paraId="7DF713A4" w14:textId="77777777" w:rsidR="00E73BD8" w:rsidRPr="00105427" w:rsidRDefault="00E73BD8" w:rsidP="00E73BD8">
      <w:pPr>
        <w:widowControl w:val="0"/>
        <w:autoSpaceDE w:val="0"/>
        <w:autoSpaceDN w:val="0"/>
        <w:adjustRightInd w:val="0"/>
        <w:spacing w:after="0" w:line="240" w:lineRule="auto"/>
        <w:rPr>
          <w:rFonts w:eastAsia="Times New Roman"/>
          <w:sz w:val="22"/>
          <w:lang w:val="en-US"/>
        </w:rPr>
      </w:pPr>
      <w:r w:rsidRPr="00105427">
        <w:rPr>
          <w:rFonts w:eastAsia="Times New Roman"/>
          <w:sz w:val="22"/>
          <w:lang w:val="en-US"/>
        </w:rPr>
        <w:t>Jug rim and neck; MB II</w:t>
      </w:r>
    </w:p>
    <w:p w14:paraId="0AB9667A" w14:textId="77777777" w:rsidR="00E73BD8" w:rsidRPr="00105427" w:rsidRDefault="00E73BD8" w:rsidP="00E73BD8">
      <w:pPr>
        <w:widowControl w:val="0"/>
        <w:autoSpaceDE w:val="0"/>
        <w:autoSpaceDN w:val="0"/>
        <w:adjustRightInd w:val="0"/>
        <w:spacing w:after="0" w:line="240" w:lineRule="auto"/>
        <w:rPr>
          <w:rFonts w:eastAsia="Times New Roman"/>
          <w:sz w:val="22"/>
          <w:lang w:val="en-US"/>
        </w:rPr>
      </w:pPr>
      <w:r w:rsidRPr="00105427">
        <w:rPr>
          <w:rFonts w:eastAsia="Times New Roman"/>
          <w:sz w:val="22"/>
          <w:lang w:val="en-US"/>
        </w:rPr>
        <w:t>2.76.L166.B21+.(4)</w:t>
      </w:r>
    </w:p>
    <w:p w14:paraId="059D1F61" w14:textId="77777777" w:rsidR="00E73BD8" w:rsidRPr="00105427" w:rsidRDefault="00E73BD8" w:rsidP="00E73BD8">
      <w:pPr>
        <w:widowControl w:val="0"/>
        <w:autoSpaceDE w:val="0"/>
        <w:autoSpaceDN w:val="0"/>
        <w:adjustRightInd w:val="0"/>
        <w:spacing w:after="0" w:line="240" w:lineRule="auto"/>
        <w:rPr>
          <w:rFonts w:eastAsia="Times New Roman"/>
          <w:sz w:val="22"/>
          <w:lang w:val="en-US"/>
        </w:rPr>
      </w:pPr>
      <w:r w:rsidRPr="00105427">
        <w:rPr>
          <w:rFonts w:eastAsia="Times New Roman"/>
          <w:sz w:val="22"/>
          <w:lang w:val="en-US"/>
        </w:rPr>
        <w:t>Harvard Semitic Museum; Israel Antiquities Authority license no. A41/89</w:t>
      </w:r>
    </w:p>
    <w:p w14:paraId="77C98388" w14:textId="77777777" w:rsidR="00E73BD8" w:rsidRPr="00105427" w:rsidRDefault="00E73BD8" w:rsidP="00E73BD8">
      <w:pPr>
        <w:widowControl w:val="0"/>
        <w:autoSpaceDE w:val="0"/>
        <w:autoSpaceDN w:val="0"/>
        <w:adjustRightInd w:val="0"/>
        <w:spacing w:after="0" w:line="240" w:lineRule="auto"/>
        <w:rPr>
          <w:rFonts w:eastAsia="Times New Roman"/>
          <w:sz w:val="22"/>
          <w:lang w:val="en-US"/>
        </w:rPr>
      </w:pPr>
      <w:r w:rsidRPr="00105427">
        <w:rPr>
          <w:rFonts w:eastAsia="Times New Roman"/>
          <w:sz w:val="22"/>
          <w:lang w:val="en-US"/>
        </w:rPr>
        <w:t>NAA Provenience: Southern Palestine</w:t>
      </w:r>
    </w:p>
    <w:p w14:paraId="08C7FA8F" w14:textId="77777777" w:rsidR="00E73BD8" w:rsidRPr="00105427" w:rsidRDefault="00E73BD8" w:rsidP="00E73BD8">
      <w:pPr>
        <w:widowControl w:val="0"/>
        <w:autoSpaceDE w:val="0"/>
        <w:autoSpaceDN w:val="0"/>
        <w:adjustRightInd w:val="0"/>
        <w:spacing w:after="0" w:line="240" w:lineRule="auto"/>
        <w:rPr>
          <w:rFonts w:eastAsia="Times New Roman"/>
          <w:sz w:val="22"/>
          <w:lang w:val="en-US"/>
        </w:rPr>
      </w:pPr>
    </w:p>
    <w:p w14:paraId="7AE4070E" w14:textId="77777777" w:rsidR="00E73BD8" w:rsidRPr="00105427" w:rsidRDefault="00E73BD8" w:rsidP="00E73BD8">
      <w:pPr>
        <w:widowControl w:val="0"/>
        <w:autoSpaceDE w:val="0"/>
        <w:autoSpaceDN w:val="0"/>
        <w:adjustRightInd w:val="0"/>
        <w:spacing w:after="0" w:line="240" w:lineRule="auto"/>
        <w:rPr>
          <w:rFonts w:eastAsia="Times New Roman"/>
          <w:sz w:val="22"/>
          <w:lang w:val="en-US"/>
        </w:rPr>
      </w:pPr>
      <w:r w:rsidRPr="00105427">
        <w:rPr>
          <w:rFonts w:eastAsia="Times New Roman"/>
          <w:sz w:val="22"/>
          <w:lang w:val="en-US"/>
        </w:rPr>
        <w:t>PMG531</w:t>
      </w:r>
    </w:p>
    <w:p w14:paraId="18EF8C64" w14:textId="77777777" w:rsidR="00E73BD8" w:rsidRPr="00105427" w:rsidRDefault="00E73BD8" w:rsidP="00E73BD8">
      <w:pPr>
        <w:widowControl w:val="0"/>
        <w:autoSpaceDE w:val="0"/>
        <w:autoSpaceDN w:val="0"/>
        <w:adjustRightInd w:val="0"/>
        <w:spacing w:after="0" w:line="240" w:lineRule="auto"/>
        <w:rPr>
          <w:rFonts w:eastAsia="Times New Roman"/>
          <w:sz w:val="22"/>
          <w:lang w:val="en-US"/>
        </w:rPr>
      </w:pPr>
      <w:r w:rsidRPr="00105427">
        <w:rPr>
          <w:rFonts w:eastAsia="Times New Roman"/>
          <w:sz w:val="22"/>
          <w:lang w:val="en-US"/>
        </w:rPr>
        <w:t>Bichrome Painted sherd; MB II</w:t>
      </w:r>
    </w:p>
    <w:p w14:paraId="38E985CF" w14:textId="77777777" w:rsidR="00E73BD8" w:rsidRPr="00105427" w:rsidRDefault="00E73BD8" w:rsidP="00E73BD8">
      <w:pPr>
        <w:widowControl w:val="0"/>
        <w:autoSpaceDE w:val="0"/>
        <w:autoSpaceDN w:val="0"/>
        <w:adjustRightInd w:val="0"/>
        <w:spacing w:after="0" w:line="240" w:lineRule="auto"/>
        <w:rPr>
          <w:rFonts w:eastAsia="Times New Roman"/>
          <w:sz w:val="22"/>
          <w:lang w:val="en-US"/>
        </w:rPr>
      </w:pPr>
      <w:r w:rsidRPr="00105427">
        <w:rPr>
          <w:rFonts w:eastAsia="Times New Roman"/>
          <w:sz w:val="22"/>
          <w:lang w:val="en-US"/>
        </w:rPr>
        <w:t>2.76.L166.B21+.(5); MB II</w:t>
      </w:r>
    </w:p>
    <w:p w14:paraId="71BF39DA" w14:textId="77777777" w:rsidR="00E73BD8" w:rsidRPr="00105427" w:rsidRDefault="00E73BD8" w:rsidP="00E73BD8">
      <w:pPr>
        <w:widowControl w:val="0"/>
        <w:autoSpaceDE w:val="0"/>
        <w:autoSpaceDN w:val="0"/>
        <w:adjustRightInd w:val="0"/>
        <w:spacing w:after="0" w:line="240" w:lineRule="auto"/>
        <w:rPr>
          <w:rFonts w:eastAsia="Times New Roman"/>
          <w:sz w:val="22"/>
          <w:lang w:val="en-US"/>
        </w:rPr>
      </w:pPr>
      <w:r w:rsidRPr="00105427">
        <w:rPr>
          <w:rFonts w:eastAsia="Times New Roman"/>
          <w:sz w:val="22"/>
          <w:lang w:val="en-US"/>
        </w:rPr>
        <w:t>Harvard Semitic Museum; Israel Antiquities Authority license no. A41/89</w:t>
      </w:r>
    </w:p>
    <w:p w14:paraId="501B505D" w14:textId="77777777" w:rsidR="00E73BD8" w:rsidRPr="00105427" w:rsidRDefault="00E73BD8" w:rsidP="00E73BD8">
      <w:pPr>
        <w:widowControl w:val="0"/>
        <w:autoSpaceDE w:val="0"/>
        <w:autoSpaceDN w:val="0"/>
        <w:adjustRightInd w:val="0"/>
        <w:spacing w:after="0" w:line="240" w:lineRule="auto"/>
        <w:rPr>
          <w:rFonts w:eastAsia="Times New Roman"/>
          <w:sz w:val="22"/>
          <w:lang w:val="en-US"/>
        </w:rPr>
      </w:pPr>
      <w:r w:rsidRPr="00105427">
        <w:rPr>
          <w:rFonts w:eastAsia="Times New Roman"/>
          <w:sz w:val="22"/>
          <w:lang w:val="en-US"/>
        </w:rPr>
        <w:t>NAA Provenience: Southern Palestine</w:t>
      </w:r>
    </w:p>
    <w:p w14:paraId="42E6D67A" w14:textId="77777777" w:rsidR="00E73BD8" w:rsidRPr="00105427" w:rsidRDefault="00E73BD8" w:rsidP="00E73BD8">
      <w:pPr>
        <w:widowControl w:val="0"/>
        <w:autoSpaceDE w:val="0"/>
        <w:autoSpaceDN w:val="0"/>
        <w:adjustRightInd w:val="0"/>
        <w:spacing w:after="0" w:line="240" w:lineRule="auto"/>
        <w:rPr>
          <w:rFonts w:eastAsia="Times New Roman"/>
          <w:sz w:val="22"/>
          <w:lang w:val="en-US"/>
        </w:rPr>
      </w:pPr>
    </w:p>
    <w:p w14:paraId="2CBEE63B" w14:textId="77777777" w:rsidR="00E73BD8" w:rsidRPr="00105427" w:rsidRDefault="00E73BD8" w:rsidP="00E73BD8">
      <w:pPr>
        <w:widowControl w:val="0"/>
        <w:autoSpaceDE w:val="0"/>
        <w:autoSpaceDN w:val="0"/>
        <w:adjustRightInd w:val="0"/>
        <w:spacing w:after="0" w:line="240" w:lineRule="auto"/>
        <w:rPr>
          <w:rFonts w:eastAsia="Times New Roman"/>
          <w:sz w:val="22"/>
          <w:lang w:val="en-US"/>
        </w:rPr>
      </w:pPr>
      <w:r w:rsidRPr="00105427">
        <w:rPr>
          <w:rFonts w:eastAsia="Times New Roman"/>
          <w:sz w:val="22"/>
          <w:lang w:val="en-US"/>
        </w:rPr>
        <w:t>PMG532</w:t>
      </w:r>
    </w:p>
    <w:p w14:paraId="32932C18" w14:textId="77777777" w:rsidR="00E73BD8" w:rsidRPr="00105427" w:rsidRDefault="00E73BD8" w:rsidP="00E73BD8">
      <w:pPr>
        <w:widowControl w:val="0"/>
        <w:autoSpaceDE w:val="0"/>
        <w:autoSpaceDN w:val="0"/>
        <w:adjustRightInd w:val="0"/>
        <w:spacing w:after="0" w:line="240" w:lineRule="auto"/>
        <w:rPr>
          <w:rFonts w:eastAsia="Times New Roman"/>
          <w:sz w:val="22"/>
          <w:lang w:val="en-US"/>
        </w:rPr>
      </w:pPr>
      <w:r w:rsidRPr="00105427">
        <w:rPr>
          <w:rFonts w:eastAsia="Times New Roman"/>
          <w:sz w:val="22"/>
          <w:lang w:val="en-US"/>
        </w:rPr>
        <w:t>Cooking pot rim; MB II</w:t>
      </w:r>
    </w:p>
    <w:p w14:paraId="530F5335" w14:textId="77777777" w:rsidR="00E73BD8" w:rsidRPr="00105427" w:rsidRDefault="00E73BD8" w:rsidP="00E73BD8">
      <w:pPr>
        <w:widowControl w:val="0"/>
        <w:autoSpaceDE w:val="0"/>
        <w:autoSpaceDN w:val="0"/>
        <w:adjustRightInd w:val="0"/>
        <w:spacing w:after="0" w:line="240" w:lineRule="auto"/>
        <w:rPr>
          <w:rFonts w:eastAsia="Times New Roman"/>
          <w:sz w:val="22"/>
          <w:lang w:val="en-US"/>
        </w:rPr>
      </w:pPr>
      <w:r w:rsidRPr="00105427">
        <w:rPr>
          <w:rFonts w:eastAsia="Times New Roman"/>
          <w:sz w:val="22"/>
          <w:lang w:val="en-US"/>
        </w:rPr>
        <w:t>2.76.L166.B21+.(6)</w:t>
      </w:r>
    </w:p>
    <w:p w14:paraId="0DF804D4" w14:textId="77777777" w:rsidR="00E73BD8" w:rsidRPr="00105427" w:rsidRDefault="00E73BD8" w:rsidP="00E73BD8">
      <w:pPr>
        <w:widowControl w:val="0"/>
        <w:autoSpaceDE w:val="0"/>
        <w:autoSpaceDN w:val="0"/>
        <w:adjustRightInd w:val="0"/>
        <w:spacing w:after="0" w:line="240" w:lineRule="auto"/>
        <w:rPr>
          <w:rFonts w:eastAsia="Times New Roman"/>
          <w:sz w:val="22"/>
          <w:lang w:val="en-US"/>
        </w:rPr>
      </w:pPr>
      <w:r w:rsidRPr="00105427">
        <w:rPr>
          <w:rFonts w:eastAsia="Times New Roman"/>
          <w:sz w:val="22"/>
          <w:lang w:val="en-US"/>
        </w:rPr>
        <w:t>Harvard Semitic Museum; Israel Antiquities Authority license no. A41/89</w:t>
      </w:r>
    </w:p>
    <w:p w14:paraId="7EDDF40E" w14:textId="77777777" w:rsidR="00E73BD8" w:rsidRPr="00105427" w:rsidRDefault="00E73BD8" w:rsidP="00E73BD8">
      <w:pPr>
        <w:widowControl w:val="0"/>
        <w:autoSpaceDE w:val="0"/>
        <w:autoSpaceDN w:val="0"/>
        <w:adjustRightInd w:val="0"/>
        <w:spacing w:after="0" w:line="240" w:lineRule="auto"/>
        <w:rPr>
          <w:rFonts w:eastAsia="Times New Roman"/>
          <w:sz w:val="22"/>
          <w:lang w:val="en-US"/>
        </w:rPr>
      </w:pPr>
      <w:r w:rsidRPr="00105427">
        <w:rPr>
          <w:rFonts w:eastAsia="Times New Roman"/>
          <w:sz w:val="22"/>
          <w:lang w:val="en-US"/>
        </w:rPr>
        <w:t>NAA Provenience: Southern Palestine</w:t>
      </w:r>
    </w:p>
    <w:p w14:paraId="23E8C263" w14:textId="77777777" w:rsidR="00E73BD8" w:rsidRPr="00105427" w:rsidRDefault="00E73BD8" w:rsidP="00E73BD8">
      <w:pPr>
        <w:widowControl w:val="0"/>
        <w:autoSpaceDE w:val="0"/>
        <w:autoSpaceDN w:val="0"/>
        <w:adjustRightInd w:val="0"/>
        <w:spacing w:after="0" w:line="240" w:lineRule="auto"/>
        <w:rPr>
          <w:rFonts w:eastAsia="Times New Roman"/>
          <w:sz w:val="22"/>
          <w:lang w:val="en-US"/>
        </w:rPr>
      </w:pPr>
    </w:p>
    <w:p w14:paraId="523DCE69" w14:textId="30A2EAD2" w:rsidR="00E73BD8" w:rsidRPr="00105427" w:rsidRDefault="00E73BD8" w:rsidP="00E73BD8">
      <w:pPr>
        <w:widowControl w:val="0"/>
        <w:autoSpaceDE w:val="0"/>
        <w:autoSpaceDN w:val="0"/>
        <w:adjustRightInd w:val="0"/>
        <w:spacing w:after="0" w:line="240" w:lineRule="auto"/>
        <w:rPr>
          <w:rFonts w:eastAsia="Times New Roman"/>
          <w:sz w:val="22"/>
          <w:lang w:val="en-US"/>
        </w:rPr>
      </w:pPr>
      <w:r w:rsidRPr="00105427">
        <w:rPr>
          <w:rFonts w:eastAsia="Times New Roman"/>
          <w:sz w:val="22"/>
          <w:lang w:val="en-US"/>
        </w:rPr>
        <w:t>PMG533</w:t>
      </w:r>
    </w:p>
    <w:p w14:paraId="282475BA" w14:textId="77777777" w:rsidR="00E73BD8" w:rsidRPr="00105427" w:rsidRDefault="00E73BD8" w:rsidP="00E73BD8">
      <w:pPr>
        <w:widowControl w:val="0"/>
        <w:autoSpaceDE w:val="0"/>
        <w:autoSpaceDN w:val="0"/>
        <w:adjustRightInd w:val="0"/>
        <w:spacing w:after="0" w:line="240" w:lineRule="auto"/>
        <w:rPr>
          <w:rFonts w:eastAsia="Times New Roman"/>
          <w:sz w:val="22"/>
          <w:lang w:val="en-US"/>
        </w:rPr>
      </w:pPr>
      <w:r w:rsidRPr="00105427">
        <w:rPr>
          <w:rFonts w:eastAsia="Times New Roman"/>
          <w:sz w:val="22"/>
          <w:lang w:val="en-US"/>
        </w:rPr>
        <w:t>Cooking pot rim; MB II</w:t>
      </w:r>
    </w:p>
    <w:p w14:paraId="19C52369" w14:textId="77777777" w:rsidR="00E73BD8" w:rsidRPr="00105427" w:rsidRDefault="00E73BD8" w:rsidP="00E73BD8">
      <w:pPr>
        <w:widowControl w:val="0"/>
        <w:autoSpaceDE w:val="0"/>
        <w:autoSpaceDN w:val="0"/>
        <w:adjustRightInd w:val="0"/>
        <w:spacing w:after="0" w:line="240" w:lineRule="auto"/>
        <w:rPr>
          <w:rFonts w:eastAsia="Times New Roman"/>
          <w:sz w:val="22"/>
          <w:lang w:val="en-US"/>
        </w:rPr>
      </w:pPr>
      <w:r w:rsidRPr="00105427">
        <w:rPr>
          <w:rFonts w:eastAsia="Times New Roman"/>
          <w:sz w:val="22"/>
          <w:lang w:val="en-US"/>
        </w:rPr>
        <w:t>2.76.L166.B21+.(7)</w:t>
      </w:r>
    </w:p>
    <w:p w14:paraId="3AEC2785" w14:textId="77777777" w:rsidR="00E73BD8" w:rsidRPr="00105427" w:rsidRDefault="00E73BD8" w:rsidP="00E73BD8">
      <w:pPr>
        <w:widowControl w:val="0"/>
        <w:autoSpaceDE w:val="0"/>
        <w:autoSpaceDN w:val="0"/>
        <w:adjustRightInd w:val="0"/>
        <w:spacing w:after="0" w:line="240" w:lineRule="auto"/>
        <w:rPr>
          <w:rFonts w:eastAsia="Times New Roman"/>
          <w:sz w:val="22"/>
          <w:lang w:val="en-US"/>
        </w:rPr>
      </w:pPr>
      <w:r w:rsidRPr="00105427">
        <w:rPr>
          <w:rFonts w:eastAsia="Times New Roman"/>
          <w:sz w:val="22"/>
          <w:lang w:val="en-US"/>
        </w:rPr>
        <w:t>Harvard Semitic Museum; Israel Antiquities Authority license no. A41/89</w:t>
      </w:r>
    </w:p>
    <w:p w14:paraId="10B4F1E3" w14:textId="77777777" w:rsidR="00E73BD8" w:rsidRPr="00105427" w:rsidRDefault="00E73BD8" w:rsidP="00E73BD8">
      <w:pPr>
        <w:widowControl w:val="0"/>
        <w:autoSpaceDE w:val="0"/>
        <w:autoSpaceDN w:val="0"/>
        <w:adjustRightInd w:val="0"/>
        <w:spacing w:after="0" w:line="240" w:lineRule="auto"/>
        <w:rPr>
          <w:rFonts w:eastAsia="Times New Roman"/>
          <w:sz w:val="22"/>
          <w:lang w:val="en-US"/>
        </w:rPr>
      </w:pPr>
      <w:r w:rsidRPr="00105427">
        <w:rPr>
          <w:rFonts w:eastAsia="Times New Roman"/>
          <w:sz w:val="22"/>
          <w:lang w:val="en-US"/>
        </w:rPr>
        <w:t>NAA Provenience: Southern Palestine</w:t>
      </w:r>
    </w:p>
    <w:p w14:paraId="08B03968" w14:textId="77777777" w:rsidR="00E73BD8" w:rsidRPr="00105427" w:rsidRDefault="00E73BD8" w:rsidP="00E73BD8">
      <w:pPr>
        <w:widowControl w:val="0"/>
        <w:autoSpaceDE w:val="0"/>
        <w:autoSpaceDN w:val="0"/>
        <w:adjustRightInd w:val="0"/>
        <w:spacing w:after="0" w:line="240" w:lineRule="auto"/>
        <w:rPr>
          <w:rFonts w:eastAsia="Times New Roman"/>
          <w:sz w:val="22"/>
          <w:lang w:val="en-US"/>
        </w:rPr>
      </w:pPr>
    </w:p>
    <w:p w14:paraId="6B96F723" w14:textId="77777777" w:rsidR="00E73BD8" w:rsidRPr="00105427" w:rsidRDefault="00E73BD8" w:rsidP="00E73BD8">
      <w:pPr>
        <w:widowControl w:val="0"/>
        <w:autoSpaceDE w:val="0"/>
        <w:autoSpaceDN w:val="0"/>
        <w:adjustRightInd w:val="0"/>
        <w:spacing w:after="0" w:line="240" w:lineRule="auto"/>
        <w:rPr>
          <w:rFonts w:eastAsia="Times New Roman"/>
          <w:sz w:val="22"/>
          <w:lang w:val="en-US"/>
        </w:rPr>
      </w:pPr>
      <w:r w:rsidRPr="00105427">
        <w:rPr>
          <w:rFonts w:eastAsia="Times New Roman"/>
          <w:sz w:val="22"/>
          <w:lang w:val="en-US"/>
        </w:rPr>
        <w:t>PMG534</w:t>
      </w:r>
    </w:p>
    <w:p w14:paraId="1993E7F0" w14:textId="77777777" w:rsidR="00E73BD8" w:rsidRPr="00105427" w:rsidRDefault="00E73BD8" w:rsidP="00E73BD8">
      <w:pPr>
        <w:widowControl w:val="0"/>
        <w:autoSpaceDE w:val="0"/>
        <w:autoSpaceDN w:val="0"/>
        <w:adjustRightInd w:val="0"/>
        <w:spacing w:after="0" w:line="240" w:lineRule="auto"/>
        <w:rPr>
          <w:rFonts w:eastAsia="Times New Roman"/>
          <w:sz w:val="22"/>
          <w:lang w:val="en-US"/>
        </w:rPr>
      </w:pPr>
      <w:r w:rsidRPr="00105427">
        <w:rPr>
          <w:rFonts w:eastAsia="Times New Roman"/>
          <w:sz w:val="22"/>
          <w:lang w:val="en-US"/>
        </w:rPr>
        <w:t>Cooking pot rim; MB II</w:t>
      </w:r>
    </w:p>
    <w:p w14:paraId="5A359D28" w14:textId="77777777" w:rsidR="00E73BD8" w:rsidRPr="00105427" w:rsidRDefault="00E73BD8" w:rsidP="00E73BD8">
      <w:pPr>
        <w:widowControl w:val="0"/>
        <w:autoSpaceDE w:val="0"/>
        <w:autoSpaceDN w:val="0"/>
        <w:adjustRightInd w:val="0"/>
        <w:spacing w:after="0" w:line="240" w:lineRule="auto"/>
        <w:rPr>
          <w:rFonts w:eastAsia="Times New Roman"/>
          <w:sz w:val="22"/>
          <w:lang w:val="en-US"/>
        </w:rPr>
      </w:pPr>
      <w:r w:rsidRPr="00105427">
        <w:rPr>
          <w:rFonts w:eastAsia="Times New Roman"/>
          <w:sz w:val="22"/>
          <w:lang w:val="en-US"/>
        </w:rPr>
        <w:t>2.76.L166.B21+.(8)</w:t>
      </w:r>
    </w:p>
    <w:p w14:paraId="55DADF7F" w14:textId="77777777" w:rsidR="00E73BD8" w:rsidRPr="00105427" w:rsidRDefault="00E73BD8" w:rsidP="00E73BD8">
      <w:pPr>
        <w:widowControl w:val="0"/>
        <w:autoSpaceDE w:val="0"/>
        <w:autoSpaceDN w:val="0"/>
        <w:adjustRightInd w:val="0"/>
        <w:spacing w:after="0" w:line="240" w:lineRule="auto"/>
        <w:rPr>
          <w:rFonts w:eastAsia="Times New Roman"/>
          <w:sz w:val="22"/>
          <w:lang w:val="en-US"/>
        </w:rPr>
      </w:pPr>
      <w:r w:rsidRPr="00105427">
        <w:rPr>
          <w:rFonts w:eastAsia="Times New Roman"/>
          <w:sz w:val="22"/>
          <w:lang w:val="en-US"/>
        </w:rPr>
        <w:t>Harvard Semitic Museum; Israel Antiquities Authority license no. A41/89</w:t>
      </w:r>
    </w:p>
    <w:p w14:paraId="48BCEE6B" w14:textId="77777777" w:rsidR="00E73BD8" w:rsidRPr="00105427" w:rsidRDefault="00E73BD8" w:rsidP="00E73BD8">
      <w:pPr>
        <w:widowControl w:val="0"/>
        <w:autoSpaceDE w:val="0"/>
        <w:autoSpaceDN w:val="0"/>
        <w:adjustRightInd w:val="0"/>
        <w:spacing w:after="0" w:line="240" w:lineRule="auto"/>
        <w:rPr>
          <w:rFonts w:eastAsia="Times New Roman"/>
          <w:sz w:val="22"/>
          <w:lang w:val="en-US"/>
        </w:rPr>
      </w:pPr>
      <w:r w:rsidRPr="00105427">
        <w:rPr>
          <w:rFonts w:eastAsia="Times New Roman"/>
          <w:sz w:val="22"/>
          <w:lang w:val="en-US"/>
        </w:rPr>
        <w:t>NAA Provenience: Southern Palestine</w:t>
      </w:r>
    </w:p>
    <w:p w14:paraId="13134C33" w14:textId="77777777" w:rsidR="00E73BD8" w:rsidRPr="00105427" w:rsidRDefault="00E73BD8" w:rsidP="00E73BD8">
      <w:pPr>
        <w:widowControl w:val="0"/>
        <w:autoSpaceDE w:val="0"/>
        <w:autoSpaceDN w:val="0"/>
        <w:adjustRightInd w:val="0"/>
        <w:spacing w:after="0" w:line="240" w:lineRule="auto"/>
        <w:rPr>
          <w:rFonts w:eastAsia="Times New Roman"/>
          <w:sz w:val="22"/>
          <w:lang w:val="en-US"/>
        </w:rPr>
      </w:pPr>
    </w:p>
    <w:p w14:paraId="665F0562" w14:textId="77777777" w:rsidR="00E73BD8" w:rsidRPr="00105427" w:rsidRDefault="00E73BD8" w:rsidP="00E73BD8">
      <w:pPr>
        <w:widowControl w:val="0"/>
        <w:autoSpaceDE w:val="0"/>
        <w:autoSpaceDN w:val="0"/>
        <w:adjustRightInd w:val="0"/>
        <w:spacing w:after="0" w:line="240" w:lineRule="auto"/>
        <w:rPr>
          <w:rFonts w:eastAsia="Times New Roman"/>
          <w:sz w:val="22"/>
          <w:lang w:val="en-US"/>
        </w:rPr>
      </w:pPr>
      <w:r w:rsidRPr="00105427">
        <w:rPr>
          <w:rFonts w:eastAsia="Times New Roman"/>
          <w:sz w:val="22"/>
          <w:lang w:val="en-US"/>
        </w:rPr>
        <w:t>PMG535</w:t>
      </w:r>
    </w:p>
    <w:p w14:paraId="665E7E08" w14:textId="77777777" w:rsidR="00E73BD8" w:rsidRPr="00105427" w:rsidRDefault="00E73BD8" w:rsidP="00E73BD8">
      <w:pPr>
        <w:widowControl w:val="0"/>
        <w:autoSpaceDE w:val="0"/>
        <w:autoSpaceDN w:val="0"/>
        <w:adjustRightInd w:val="0"/>
        <w:spacing w:after="0" w:line="240" w:lineRule="auto"/>
        <w:rPr>
          <w:rFonts w:eastAsia="Times New Roman"/>
          <w:sz w:val="22"/>
          <w:lang w:val="en-US"/>
        </w:rPr>
      </w:pPr>
      <w:r w:rsidRPr="00105427">
        <w:rPr>
          <w:rFonts w:eastAsia="Times New Roman"/>
          <w:sz w:val="22"/>
          <w:lang w:val="en-US"/>
        </w:rPr>
        <w:t>White-slipped and painted sherd (possibly Chocolate-on-White Ware); MB II</w:t>
      </w:r>
    </w:p>
    <w:p w14:paraId="5215D54B" w14:textId="77777777" w:rsidR="00E73BD8" w:rsidRPr="00105427" w:rsidRDefault="00E73BD8" w:rsidP="00E73BD8">
      <w:pPr>
        <w:widowControl w:val="0"/>
        <w:autoSpaceDE w:val="0"/>
        <w:autoSpaceDN w:val="0"/>
        <w:adjustRightInd w:val="0"/>
        <w:spacing w:after="0" w:line="240" w:lineRule="auto"/>
        <w:rPr>
          <w:rFonts w:eastAsia="Times New Roman"/>
          <w:sz w:val="22"/>
          <w:lang w:val="en-US"/>
        </w:rPr>
      </w:pPr>
      <w:r w:rsidRPr="00105427">
        <w:rPr>
          <w:rFonts w:eastAsia="Times New Roman"/>
          <w:sz w:val="22"/>
          <w:lang w:val="en-US"/>
        </w:rPr>
        <w:t>2.76.L166.B21+.(11)</w:t>
      </w:r>
    </w:p>
    <w:p w14:paraId="2AA476AA" w14:textId="77777777" w:rsidR="00E73BD8" w:rsidRPr="00105427" w:rsidRDefault="00E73BD8" w:rsidP="00E73BD8">
      <w:pPr>
        <w:widowControl w:val="0"/>
        <w:autoSpaceDE w:val="0"/>
        <w:autoSpaceDN w:val="0"/>
        <w:adjustRightInd w:val="0"/>
        <w:spacing w:after="0" w:line="240" w:lineRule="auto"/>
        <w:rPr>
          <w:rFonts w:eastAsia="Times New Roman"/>
          <w:sz w:val="22"/>
          <w:lang w:val="en-US"/>
        </w:rPr>
      </w:pPr>
      <w:r w:rsidRPr="00105427">
        <w:rPr>
          <w:rFonts w:eastAsia="Times New Roman"/>
          <w:sz w:val="22"/>
          <w:lang w:val="en-US"/>
        </w:rPr>
        <w:t>Harvard Semitic Museum; Israel Antiquities Authority license no. A41/89</w:t>
      </w:r>
    </w:p>
    <w:p w14:paraId="02691820" w14:textId="77777777" w:rsidR="00E73BD8" w:rsidRPr="00105427" w:rsidRDefault="00E73BD8" w:rsidP="00E73BD8">
      <w:pPr>
        <w:widowControl w:val="0"/>
        <w:autoSpaceDE w:val="0"/>
        <w:autoSpaceDN w:val="0"/>
        <w:adjustRightInd w:val="0"/>
        <w:spacing w:after="0" w:line="240" w:lineRule="auto"/>
        <w:rPr>
          <w:rFonts w:eastAsia="Times New Roman"/>
          <w:sz w:val="22"/>
          <w:lang w:val="en-US"/>
        </w:rPr>
      </w:pPr>
      <w:r w:rsidRPr="00105427">
        <w:rPr>
          <w:rFonts w:eastAsia="Times New Roman"/>
          <w:sz w:val="22"/>
          <w:lang w:val="en-US"/>
        </w:rPr>
        <w:t>NAA Provenience: Southern Palestine</w:t>
      </w:r>
    </w:p>
    <w:p w14:paraId="14CF383A" w14:textId="77777777" w:rsidR="00E73BD8" w:rsidRPr="00105427" w:rsidRDefault="00E73BD8" w:rsidP="00E73BD8">
      <w:pPr>
        <w:widowControl w:val="0"/>
        <w:autoSpaceDE w:val="0"/>
        <w:autoSpaceDN w:val="0"/>
        <w:adjustRightInd w:val="0"/>
        <w:spacing w:after="0" w:line="240" w:lineRule="auto"/>
        <w:rPr>
          <w:rFonts w:eastAsia="Times New Roman"/>
          <w:sz w:val="22"/>
          <w:lang w:val="en-US"/>
        </w:rPr>
      </w:pPr>
    </w:p>
    <w:p w14:paraId="3136FBC2" w14:textId="77777777" w:rsidR="003A4138" w:rsidRDefault="003A4138">
      <w:pPr>
        <w:spacing w:line="259" w:lineRule="auto"/>
        <w:rPr>
          <w:rFonts w:eastAsia="Times New Roman"/>
          <w:sz w:val="22"/>
          <w:lang w:val="en-US"/>
        </w:rPr>
      </w:pPr>
      <w:r>
        <w:rPr>
          <w:rFonts w:eastAsia="Times New Roman"/>
          <w:sz w:val="22"/>
          <w:lang w:val="en-US"/>
        </w:rPr>
        <w:br w:type="page"/>
      </w:r>
    </w:p>
    <w:p w14:paraId="6CACD02D" w14:textId="03E2DCA3" w:rsidR="00E73BD8" w:rsidRPr="00105427" w:rsidRDefault="00E73BD8" w:rsidP="00E73BD8">
      <w:pPr>
        <w:widowControl w:val="0"/>
        <w:autoSpaceDE w:val="0"/>
        <w:autoSpaceDN w:val="0"/>
        <w:adjustRightInd w:val="0"/>
        <w:spacing w:after="0" w:line="240" w:lineRule="auto"/>
        <w:rPr>
          <w:rFonts w:eastAsia="Times New Roman"/>
          <w:sz w:val="22"/>
          <w:lang w:val="en-US"/>
        </w:rPr>
      </w:pPr>
      <w:r w:rsidRPr="00105427">
        <w:rPr>
          <w:rFonts w:eastAsia="Times New Roman"/>
          <w:sz w:val="22"/>
          <w:lang w:val="en-US"/>
        </w:rPr>
        <w:lastRenderedPageBreak/>
        <w:t>PMG536</w:t>
      </w:r>
    </w:p>
    <w:p w14:paraId="3CBB4DA7" w14:textId="77777777" w:rsidR="00E73BD8" w:rsidRPr="00105427" w:rsidRDefault="00E73BD8" w:rsidP="00E73BD8">
      <w:pPr>
        <w:widowControl w:val="0"/>
        <w:autoSpaceDE w:val="0"/>
        <w:autoSpaceDN w:val="0"/>
        <w:adjustRightInd w:val="0"/>
        <w:spacing w:after="0" w:line="240" w:lineRule="auto"/>
        <w:rPr>
          <w:rFonts w:eastAsia="Times New Roman"/>
          <w:sz w:val="22"/>
          <w:lang w:val="en-US"/>
        </w:rPr>
      </w:pPr>
      <w:r w:rsidRPr="00105427">
        <w:rPr>
          <w:rFonts w:eastAsia="Times New Roman"/>
          <w:sz w:val="22"/>
          <w:lang w:val="en-US"/>
        </w:rPr>
        <w:t>Amphora rim; MB II</w:t>
      </w:r>
    </w:p>
    <w:p w14:paraId="789ECA85" w14:textId="77777777" w:rsidR="00E73BD8" w:rsidRPr="00105427" w:rsidRDefault="00E73BD8" w:rsidP="00E73BD8">
      <w:pPr>
        <w:widowControl w:val="0"/>
        <w:autoSpaceDE w:val="0"/>
        <w:autoSpaceDN w:val="0"/>
        <w:adjustRightInd w:val="0"/>
        <w:spacing w:after="0" w:line="240" w:lineRule="auto"/>
        <w:rPr>
          <w:rFonts w:eastAsia="Times New Roman"/>
          <w:sz w:val="22"/>
          <w:lang w:val="en-US"/>
        </w:rPr>
      </w:pPr>
      <w:r w:rsidRPr="00105427">
        <w:rPr>
          <w:rFonts w:eastAsia="Times New Roman"/>
          <w:sz w:val="22"/>
          <w:lang w:val="en-US"/>
        </w:rPr>
        <w:t>2.76.L166.B21.(12)</w:t>
      </w:r>
    </w:p>
    <w:p w14:paraId="7ECC3BC3" w14:textId="77777777" w:rsidR="00E73BD8" w:rsidRPr="00105427" w:rsidRDefault="00E73BD8" w:rsidP="00E73BD8">
      <w:pPr>
        <w:widowControl w:val="0"/>
        <w:autoSpaceDE w:val="0"/>
        <w:autoSpaceDN w:val="0"/>
        <w:adjustRightInd w:val="0"/>
        <w:spacing w:after="0" w:line="240" w:lineRule="auto"/>
        <w:rPr>
          <w:rFonts w:eastAsia="Times New Roman"/>
          <w:sz w:val="22"/>
          <w:lang w:val="en-US"/>
        </w:rPr>
      </w:pPr>
      <w:r w:rsidRPr="00105427">
        <w:rPr>
          <w:rFonts w:eastAsia="Times New Roman"/>
          <w:sz w:val="22"/>
          <w:lang w:val="en-US"/>
        </w:rPr>
        <w:t>Harvard Semitic Museum; Israel Antiquities Authority license no. A41/89</w:t>
      </w:r>
    </w:p>
    <w:p w14:paraId="7C1D93F5" w14:textId="77777777" w:rsidR="00E73BD8" w:rsidRPr="00105427" w:rsidRDefault="00E73BD8" w:rsidP="00E73BD8">
      <w:pPr>
        <w:widowControl w:val="0"/>
        <w:autoSpaceDE w:val="0"/>
        <w:autoSpaceDN w:val="0"/>
        <w:adjustRightInd w:val="0"/>
        <w:spacing w:after="0" w:line="240" w:lineRule="auto"/>
        <w:rPr>
          <w:rFonts w:eastAsia="Times New Roman"/>
          <w:sz w:val="22"/>
          <w:lang w:val="en-US"/>
        </w:rPr>
      </w:pPr>
      <w:r w:rsidRPr="00105427">
        <w:rPr>
          <w:rFonts w:eastAsia="Times New Roman"/>
          <w:sz w:val="22"/>
          <w:lang w:val="en-US"/>
        </w:rPr>
        <w:t>NAA Provenience: Southern Palestine</w:t>
      </w:r>
    </w:p>
    <w:p w14:paraId="15C22268" w14:textId="77777777" w:rsidR="00E73BD8" w:rsidRPr="00105427" w:rsidRDefault="00E73BD8" w:rsidP="00E73BD8">
      <w:pPr>
        <w:widowControl w:val="0"/>
        <w:autoSpaceDE w:val="0"/>
        <w:autoSpaceDN w:val="0"/>
        <w:adjustRightInd w:val="0"/>
        <w:spacing w:after="0" w:line="240" w:lineRule="auto"/>
        <w:rPr>
          <w:rFonts w:eastAsia="Times New Roman"/>
          <w:sz w:val="22"/>
          <w:lang w:val="en-US"/>
        </w:rPr>
      </w:pPr>
    </w:p>
    <w:p w14:paraId="53AEA1C2" w14:textId="77777777" w:rsidR="00E73BD8" w:rsidRPr="00105427" w:rsidRDefault="00E73BD8" w:rsidP="00E73BD8">
      <w:pPr>
        <w:widowControl w:val="0"/>
        <w:autoSpaceDE w:val="0"/>
        <w:autoSpaceDN w:val="0"/>
        <w:adjustRightInd w:val="0"/>
        <w:spacing w:after="0" w:line="240" w:lineRule="auto"/>
        <w:rPr>
          <w:rFonts w:eastAsia="Times New Roman"/>
          <w:sz w:val="22"/>
          <w:lang w:val="en-US"/>
        </w:rPr>
      </w:pPr>
      <w:r w:rsidRPr="00105427">
        <w:rPr>
          <w:rFonts w:eastAsia="Times New Roman"/>
          <w:sz w:val="22"/>
          <w:lang w:val="en-US"/>
        </w:rPr>
        <w:t>PMG537</w:t>
      </w:r>
    </w:p>
    <w:p w14:paraId="6D806F3C" w14:textId="77777777" w:rsidR="00E73BD8" w:rsidRPr="00105427" w:rsidRDefault="00E73BD8" w:rsidP="00E73BD8">
      <w:pPr>
        <w:widowControl w:val="0"/>
        <w:autoSpaceDE w:val="0"/>
        <w:autoSpaceDN w:val="0"/>
        <w:adjustRightInd w:val="0"/>
        <w:spacing w:after="0" w:line="240" w:lineRule="auto"/>
        <w:rPr>
          <w:rFonts w:eastAsia="Times New Roman"/>
          <w:sz w:val="22"/>
          <w:lang w:val="en-US"/>
        </w:rPr>
      </w:pPr>
      <w:r w:rsidRPr="00105427">
        <w:rPr>
          <w:rFonts w:eastAsia="Times New Roman"/>
          <w:sz w:val="22"/>
          <w:lang w:val="en-US"/>
        </w:rPr>
        <w:t>Amphora/pithos upper body; MB II</w:t>
      </w:r>
    </w:p>
    <w:p w14:paraId="73382FE1" w14:textId="77777777" w:rsidR="00E73BD8" w:rsidRPr="00105427" w:rsidRDefault="00E73BD8" w:rsidP="00E73BD8">
      <w:pPr>
        <w:widowControl w:val="0"/>
        <w:autoSpaceDE w:val="0"/>
        <w:autoSpaceDN w:val="0"/>
        <w:adjustRightInd w:val="0"/>
        <w:spacing w:after="0" w:line="240" w:lineRule="auto"/>
        <w:rPr>
          <w:rFonts w:eastAsia="Times New Roman"/>
          <w:sz w:val="22"/>
          <w:lang w:val="en-US"/>
        </w:rPr>
      </w:pPr>
      <w:r w:rsidRPr="00105427">
        <w:rPr>
          <w:rFonts w:eastAsia="Times New Roman"/>
          <w:sz w:val="22"/>
          <w:lang w:val="en-US"/>
        </w:rPr>
        <w:t>2.76.L166.B25+.(32)</w:t>
      </w:r>
    </w:p>
    <w:p w14:paraId="4D91B7E9" w14:textId="77777777" w:rsidR="00E73BD8" w:rsidRPr="00105427" w:rsidRDefault="00E73BD8" w:rsidP="00E73BD8">
      <w:pPr>
        <w:widowControl w:val="0"/>
        <w:autoSpaceDE w:val="0"/>
        <w:autoSpaceDN w:val="0"/>
        <w:adjustRightInd w:val="0"/>
        <w:spacing w:after="0" w:line="240" w:lineRule="auto"/>
        <w:rPr>
          <w:rFonts w:eastAsia="Times New Roman"/>
          <w:sz w:val="22"/>
          <w:lang w:val="en-US"/>
        </w:rPr>
      </w:pPr>
      <w:r w:rsidRPr="00105427">
        <w:rPr>
          <w:rFonts w:eastAsia="Times New Roman"/>
          <w:sz w:val="22"/>
          <w:lang w:val="en-US"/>
        </w:rPr>
        <w:t>Harvard Semitic Museum; Israel Antiquities Authority license no. A41/89</w:t>
      </w:r>
    </w:p>
    <w:p w14:paraId="6A493225" w14:textId="77777777" w:rsidR="00E73BD8" w:rsidRPr="00105427" w:rsidRDefault="00E73BD8" w:rsidP="00E73BD8">
      <w:pPr>
        <w:widowControl w:val="0"/>
        <w:autoSpaceDE w:val="0"/>
        <w:autoSpaceDN w:val="0"/>
        <w:adjustRightInd w:val="0"/>
        <w:spacing w:after="0" w:line="240" w:lineRule="auto"/>
        <w:rPr>
          <w:rFonts w:eastAsia="Times New Roman"/>
          <w:sz w:val="22"/>
          <w:lang w:val="en-US"/>
        </w:rPr>
      </w:pPr>
      <w:r w:rsidRPr="00105427">
        <w:rPr>
          <w:rFonts w:eastAsia="Times New Roman"/>
          <w:sz w:val="22"/>
          <w:lang w:val="en-US"/>
        </w:rPr>
        <w:t>NAA Provenience: Probably Southern Palestine</w:t>
      </w:r>
    </w:p>
    <w:p w14:paraId="1515A0BE" w14:textId="77777777" w:rsidR="00E73BD8" w:rsidRPr="00105427" w:rsidRDefault="00E73BD8" w:rsidP="00E73BD8">
      <w:pPr>
        <w:widowControl w:val="0"/>
        <w:autoSpaceDE w:val="0"/>
        <w:autoSpaceDN w:val="0"/>
        <w:adjustRightInd w:val="0"/>
        <w:spacing w:after="0" w:line="240" w:lineRule="auto"/>
        <w:rPr>
          <w:rFonts w:eastAsia="Times New Roman"/>
          <w:sz w:val="22"/>
          <w:lang w:val="en-US"/>
        </w:rPr>
      </w:pPr>
    </w:p>
    <w:p w14:paraId="79C450B1" w14:textId="77777777" w:rsidR="00E73BD8" w:rsidRPr="00105427" w:rsidRDefault="00E73BD8" w:rsidP="00E73BD8">
      <w:pPr>
        <w:widowControl w:val="0"/>
        <w:autoSpaceDE w:val="0"/>
        <w:autoSpaceDN w:val="0"/>
        <w:adjustRightInd w:val="0"/>
        <w:spacing w:after="0" w:line="240" w:lineRule="auto"/>
        <w:rPr>
          <w:rFonts w:eastAsia="Times New Roman"/>
          <w:sz w:val="22"/>
          <w:lang w:val="en-US"/>
        </w:rPr>
      </w:pPr>
      <w:r w:rsidRPr="00105427">
        <w:rPr>
          <w:rFonts w:eastAsia="Times New Roman"/>
          <w:sz w:val="22"/>
          <w:lang w:val="en-US"/>
        </w:rPr>
        <w:t>PMG538</w:t>
      </w:r>
    </w:p>
    <w:p w14:paraId="7B5894ED" w14:textId="77777777" w:rsidR="00E73BD8" w:rsidRPr="00105427" w:rsidRDefault="00E73BD8" w:rsidP="00E73BD8">
      <w:pPr>
        <w:widowControl w:val="0"/>
        <w:autoSpaceDE w:val="0"/>
        <w:autoSpaceDN w:val="0"/>
        <w:adjustRightInd w:val="0"/>
        <w:spacing w:after="0" w:line="240" w:lineRule="auto"/>
        <w:rPr>
          <w:rFonts w:eastAsia="Times New Roman"/>
          <w:sz w:val="22"/>
          <w:lang w:val="en-US"/>
        </w:rPr>
      </w:pPr>
      <w:r w:rsidRPr="00105427">
        <w:rPr>
          <w:rFonts w:eastAsia="Times New Roman"/>
          <w:sz w:val="22"/>
          <w:lang w:val="en-US"/>
        </w:rPr>
        <w:t>Red-slipped and painted sherd; MB II</w:t>
      </w:r>
    </w:p>
    <w:p w14:paraId="10564767" w14:textId="77777777" w:rsidR="00E73BD8" w:rsidRPr="00105427" w:rsidRDefault="00E73BD8" w:rsidP="00E73BD8">
      <w:pPr>
        <w:widowControl w:val="0"/>
        <w:autoSpaceDE w:val="0"/>
        <w:autoSpaceDN w:val="0"/>
        <w:adjustRightInd w:val="0"/>
        <w:spacing w:after="0" w:line="240" w:lineRule="auto"/>
        <w:rPr>
          <w:rFonts w:eastAsia="Times New Roman"/>
          <w:sz w:val="22"/>
          <w:lang w:val="en-US"/>
        </w:rPr>
      </w:pPr>
      <w:r w:rsidRPr="00105427">
        <w:rPr>
          <w:rFonts w:eastAsia="Times New Roman"/>
          <w:sz w:val="22"/>
          <w:lang w:val="en-US"/>
        </w:rPr>
        <w:t>2.76.L166.B25+.(37)</w:t>
      </w:r>
    </w:p>
    <w:p w14:paraId="58FE0545" w14:textId="77777777" w:rsidR="00E73BD8" w:rsidRPr="00105427" w:rsidRDefault="00E73BD8" w:rsidP="00E73BD8">
      <w:pPr>
        <w:widowControl w:val="0"/>
        <w:autoSpaceDE w:val="0"/>
        <w:autoSpaceDN w:val="0"/>
        <w:adjustRightInd w:val="0"/>
        <w:spacing w:after="0" w:line="240" w:lineRule="auto"/>
        <w:rPr>
          <w:rFonts w:eastAsia="Times New Roman"/>
          <w:sz w:val="22"/>
          <w:lang w:val="en-US"/>
        </w:rPr>
      </w:pPr>
      <w:r w:rsidRPr="00105427">
        <w:rPr>
          <w:rFonts w:eastAsia="Times New Roman"/>
          <w:sz w:val="22"/>
          <w:lang w:val="en-US"/>
        </w:rPr>
        <w:t>Harvard Semitic Museum; Israel Antiquities Authority license no. A41/89</w:t>
      </w:r>
    </w:p>
    <w:p w14:paraId="241D1384" w14:textId="77777777" w:rsidR="00E73BD8" w:rsidRPr="00105427" w:rsidRDefault="00E73BD8" w:rsidP="00E73BD8">
      <w:pPr>
        <w:widowControl w:val="0"/>
        <w:autoSpaceDE w:val="0"/>
        <w:autoSpaceDN w:val="0"/>
        <w:adjustRightInd w:val="0"/>
        <w:spacing w:after="0" w:line="240" w:lineRule="auto"/>
        <w:rPr>
          <w:rFonts w:eastAsia="Times New Roman"/>
          <w:sz w:val="22"/>
          <w:lang w:val="en-US"/>
        </w:rPr>
      </w:pPr>
      <w:r w:rsidRPr="00105427">
        <w:rPr>
          <w:rFonts w:eastAsia="Times New Roman"/>
          <w:sz w:val="22"/>
          <w:lang w:val="en-US"/>
        </w:rPr>
        <w:t>NAA Provenience: Southern Palestine</w:t>
      </w:r>
    </w:p>
    <w:p w14:paraId="0A827491" w14:textId="77777777" w:rsidR="00E73BD8" w:rsidRPr="00105427" w:rsidRDefault="00E73BD8" w:rsidP="00E73BD8">
      <w:pPr>
        <w:widowControl w:val="0"/>
        <w:autoSpaceDE w:val="0"/>
        <w:autoSpaceDN w:val="0"/>
        <w:adjustRightInd w:val="0"/>
        <w:spacing w:after="0" w:line="240" w:lineRule="auto"/>
        <w:rPr>
          <w:rFonts w:eastAsia="Times New Roman"/>
          <w:sz w:val="22"/>
          <w:lang w:val="en-US"/>
        </w:rPr>
      </w:pPr>
    </w:p>
    <w:p w14:paraId="49BE8856" w14:textId="77777777" w:rsidR="00E73BD8" w:rsidRPr="00105427" w:rsidRDefault="00E73BD8" w:rsidP="00E73BD8">
      <w:pPr>
        <w:widowControl w:val="0"/>
        <w:autoSpaceDE w:val="0"/>
        <w:autoSpaceDN w:val="0"/>
        <w:adjustRightInd w:val="0"/>
        <w:spacing w:after="0" w:line="240" w:lineRule="auto"/>
        <w:rPr>
          <w:rFonts w:eastAsia="Times New Roman"/>
          <w:sz w:val="22"/>
          <w:lang w:val="en-US"/>
        </w:rPr>
      </w:pPr>
      <w:r w:rsidRPr="00105427">
        <w:rPr>
          <w:rFonts w:eastAsia="Times New Roman"/>
          <w:sz w:val="22"/>
          <w:lang w:val="en-US"/>
        </w:rPr>
        <w:t>PMG539</w:t>
      </w:r>
    </w:p>
    <w:p w14:paraId="2D8124C8" w14:textId="77777777" w:rsidR="00E73BD8" w:rsidRPr="00105427" w:rsidRDefault="00E73BD8" w:rsidP="00E73BD8">
      <w:pPr>
        <w:widowControl w:val="0"/>
        <w:autoSpaceDE w:val="0"/>
        <w:autoSpaceDN w:val="0"/>
        <w:adjustRightInd w:val="0"/>
        <w:spacing w:after="0" w:line="240" w:lineRule="auto"/>
        <w:rPr>
          <w:rFonts w:eastAsia="Times New Roman"/>
          <w:sz w:val="22"/>
          <w:lang w:val="en-US"/>
        </w:rPr>
      </w:pPr>
      <w:r w:rsidRPr="00105427">
        <w:rPr>
          <w:rFonts w:eastAsia="Times New Roman"/>
          <w:sz w:val="22"/>
          <w:lang w:val="en-US"/>
        </w:rPr>
        <w:t>Rim; MB II</w:t>
      </w:r>
    </w:p>
    <w:p w14:paraId="4E6CE8D1" w14:textId="77777777" w:rsidR="00E73BD8" w:rsidRPr="00105427" w:rsidRDefault="00E73BD8" w:rsidP="00E73BD8">
      <w:pPr>
        <w:widowControl w:val="0"/>
        <w:autoSpaceDE w:val="0"/>
        <w:autoSpaceDN w:val="0"/>
        <w:adjustRightInd w:val="0"/>
        <w:spacing w:after="0" w:line="240" w:lineRule="auto"/>
        <w:rPr>
          <w:rFonts w:eastAsia="Times New Roman"/>
          <w:sz w:val="22"/>
          <w:lang w:val="en-US"/>
        </w:rPr>
      </w:pPr>
      <w:r w:rsidRPr="00105427">
        <w:rPr>
          <w:rFonts w:eastAsia="Times New Roman"/>
          <w:sz w:val="22"/>
          <w:lang w:val="en-US"/>
        </w:rPr>
        <w:t>2.76.L166.B25</w:t>
      </w:r>
      <w:bookmarkStart w:id="52" w:name="_Hlk8812023"/>
      <w:r w:rsidRPr="00105427">
        <w:rPr>
          <w:rFonts w:eastAsia="Times New Roman"/>
          <w:sz w:val="22"/>
          <w:lang w:val="en-US"/>
        </w:rPr>
        <w:t>+.(</w:t>
      </w:r>
      <w:bookmarkEnd w:id="52"/>
      <w:r w:rsidRPr="00105427">
        <w:rPr>
          <w:rFonts w:eastAsia="Times New Roman"/>
          <w:sz w:val="22"/>
          <w:lang w:val="en-US"/>
        </w:rPr>
        <w:t>46)</w:t>
      </w:r>
    </w:p>
    <w:p w14:paraId="432C83CD" w14:textId="77777777" w:rsidR="00E73BD8" w:rsidRPr="00105427" w:rsidRDefault="00E73BD8" w:rsidP="00E73BD8">
      <w:pPr>
        <w:widowControl w:val="0"/>
        <w:autoSpaceDE w:val="0"/>
        <w:autoSpaceDN w:val="0"/>
        <w:adjustRightInd w:val="0"/>
        <w:spacing w:after="0" w:line="240" w:lineRule="auto"/>
        <w:rPr>
          <w:rFonts w:eastAsia="Times New Roman"/>
          <w:sz w:val="22"/>
          <w:lang w:val="en-US"/>
        </w:rPr>
      </w:pPr>
      <w:r w:rsidRPr="00105427">
        <w:rPr>
          <w:rFonts w:eastAsia="Times New Roman"/>
          <w:sz w:val="22"/>
          <w:lang w:val="en-US"/>
        </w:rPr>
        <w:t>Harvard Semitic Museum; Israel Antiquities Authority license no. A41/89</w:t>
      </w:r>
    </w:p>
    <w:p w14:paraId="1DC91C34" w14:textId="77777777" w:rsidR="00E73BD8" w:rsidRPr="00105427" w:rsidRDefault="00E73BD8" w:rsidP="00E73BD8">
      <w:pPr>
        <w:widowControl w:val="0"/>
        <w:autoSpaceDE w:val="0"/>
        <w:autoSpaceDN w:val="0"/>
        <w:adjustRightInd w:val="0"/>
        <w:spacing w:after="0" w:line="240" w:lineRule="auto"/>
        <w:rPr>
          <w:rFonts w:eastAsia="Times New Roman"/>
          <w:sz w:val="22"/>
          <w:lang w:val="en-US"/>
        </w:rPr>
      </w:pPr>
      <w:r w:rsidRPr="00105427">
        <w:rPr>
          <w:rFonts w:eastAsia="Times New Roman"/>
          <w:sz w:val="22"/>
          <w:lang w:val="en-US"/>
        </w:rPr>
        <w:t>NAA Provenience: ?</w:t>
      </w:r>
    </w:p>
    <w:p w14:paraId="474BAA5E" w14:textId="77777777" w:rsidR="00E73BD8" w:rsidRPr="00105427" w:rsidRDefault="00E73BD8" w:rsidP="00E73BD8">
      <w:pPr>
        <w:widowControl w:val="0"/>
        <w:autoSpaceDE w:val="0"/>
        <w:autoSpaceDN w:val="0"/>
        <w:adjustRightInd w:val="0"/>
        <w:spacing w:after="0" w:line="240" w:lineRule="auto"/>
        <w:rPr>
          <w:rFonts w:eastAsia="Times New Roman"/>
          <w:sz w:val="22"/>
          <w:lang w:val="en-US"/>
        </w:rPr>
      </w:pPr>
    </w:p>
    <w:p w14:paraId="3CD3A9D2" w14:textId="77777777" w:rsidR="00E73BD8" w:rsidRPr="00105427" w:rsidRDefault="00E73BD8" w:rsidP="00E73BD8">
      <w:pPr>
        <w:widowControl w:val="0"/>
        <w:autoSpaceDE w:val="0"/>
        <w:autoSpaceDN w:val="0"/>
        <w:adjustRightInd w:val="0"/>
        <w:spacing w:after="0" w:line="240" w:lineRule="auto"/>
        <w:rPr>
          <w:rFonts w:eastAsia="Times New Roman"/>
          <w:sz w:val="22"/>
          <w:lang w:val="en-US"/>
        </w:rPr>
      </w:pPr>
      <w:r w:rsidRPr="00105427">
        <w:rPr>
          <w:rFonts w:eastAsia="Times New Roman"/>
          <w:sz w:val="22"/>
          <w:lang w:val="en-US"/>
        </w:rPr>
        <w:t>PMG540</w:t>
      </w:r>
    </w:p>
    <w:p w14:paraId="1F26B6AE" w14:textId="77777777" w:rsidR="00E73BD8" w:rsidRPr="00105427" w:rsidRDefault="00E73BD8" w:rsidP="00E73BD8">
      <w:pPr>
        <w:widowControl w:val="0"/>
        <w:autoSpaceDE w:val="0"/>
        <w:autoSpaceDN w:val="0"/>
        <w:adjustRightInd w:val="0"/>
        <w:spacing w:after="0" w:line="240" w:lineRule="auto"/>
        <w:rPr>
          <w:rFonts w:eastAsia="Times New Roman"/>
          <w:sz w:val="22"/>
          <w:lang w:val="en-US"/>
        </w:rPr>
      </w:pPr>
      <w:r w:rsidRPr="00105427">
        <w:rPr>
          <w:rFonts w:eastAsia="Times New Roman"/>
          <w:sz w:val="22"/>
          <w:lang w:val="en-US"/>
        </w:rPr>
        <w:t>Amphora rim with shoulder collar; MB II</w:t>
      </w:r>
    </w:p>
    <w:p w14:paraId="2B3AFF70" w14:textId="77777777" w:rsidR="00E73BD8" w:rsidRPr="00105427" w:rsidRDefault="00E73BD8" w:rsidP="00E73BD8">
      <w:pPr>
        <w:widowControl w:val="0"/>
        <w:autoSpaceDE w:val="0"/>
        <w:autoSpaceDN w:val="0"/>
        <w:adjustRightInd w:val="0"/>
        <w:spacing w:after="0" w:line="240" w:lineRule="auto"/>
        <w:rPr>
          <w:rFonts w:eastAsia="Times New Roman"/>
          <w:sz w:val="22"/>
          <w:lang w:val="en-US"/>
        </w:rPr>
      </w:pPr>
      <w:r w:rsidRPr="00105427">
        <w:rPr>
          <w:rFonts w:eastAsia="Times New Roman"/>
          <w:sz w:val="22"/>
          <w:lang w:val="en-US"/>
        </w:rPr>
        <w:t>2.76.L166.B25+.(48)</w:t>
      </w:r>
    </w:p>
    <w:p w14:paraId="11663771" w14:textId="77777777" w:rsidR="00E73BD8" w:rsidRPr="00105427" w:rsidRDefault="00E73BD8" w:rsidP="00E73BD8">
      <w:pPr>
        <w:widowControl w:val="0"/>
        <w:autoSpaceDE w:val="0"/>
        <w:autoSpaceDN w:val="0"/>
        <w:adjustRightInd w:val="0"/>
        <w:spacing w:after="0" w:line="240" w:lineRule="auto"/>
        <w:rPr>
          <w:rFonts w:eastAsia="Times New Roman"/>
          <w:sz w:val="22"/>
          <w:lang w:val="en-US"/>
        </w:rPr>
      </w:pPr>
      <w:r w:rsidRPr="00105427">
        <w:rPr>
          <w:rFonts w:eastAsia="Times New Roman"/>
          <w:sz w:val="22"/>
          <w:lang w:val="en-US"/>
        </w:rPr>
        <w:t>Harvard Semitic Museum; Israel Antiquities Authority license no. A41/89</w:t>
      </w:r>
    </w:p>
    <w:p w14:paraId="1969B608" w14:textId="77777777" w:rsidR="00E73BD8" w:rsidRPr="00105427" w:rsidRDefault="00E73BD8" w:rsidP="00E73BD8">
      <w:pPr>
        <w:widowControl w:val="0"/>
        <w:autoSpaceDE w:val="0"/>
        <w:autoSpaceDN w:val="0"/>
        <w:adjustRightInd w:val="0"/>
        <w:spacing w:after="0" w:line="240" w:lineRule="auto"/>
        <w:rPr>
          <w:rFonts w:eastAsia="Times New Roman"/>
          <w:sz w:val="22"/>
          <w:lang w:val="en-US"/>
        </w:rPr>
      </w:pPr>
      <w:r w:rsidRPr="00105427">
        <w:rPr>
          <w:rFonts w:eastAsia="Times New Roman"/>
          <w:sz w:val="22"/>
          <w:lang w:val="en-US"/>
        </w:rPr>
        <w:t>NAA Provenience: Probably Southern Palestine</w:t>
      </w:r>
    </w:p>
    <w:p w14:paraId="07790B6E" w14:textId="77777777" w:rsidR="00E73BD8" w:rsidRPr="00105427" w:rsidRDefault="00E73BD8" w:rsidP="00E73BD8">
      <w:pPr>
        <w:widowControl w:val="0"/>
        <w:autoSpaceDE w:val="0"/>
        <w:autoSpaceDN w:val="0"/>
        <w:adjustRightInd w:val="0"/>
        <w:spacing w:after="0" w:line="240" w:lineRule="auto"/>
        <w:rPr>
          <w:rFonts w:eastAsia="Times New Roman"/>
          <w:sz w:val="22"/>
          <w:lang w:val="en-US"/>
        </w:rPr>
      </w:pPr>
    </w:p>
    <w:p w14:paraId="49B8291E" w14:textId="75174FEE" w:rsidR="00E73BD8" w:rsidRPr="00105427" w:rsidRDefault="00E73BD8" w:rsidP="00E73BD8">
      <w:pPr>
        <w:widowControl w:val="0"/>
        <w:autoSpaceDE w:val="0"/>
        <w:autoSpaceDN w:val="0"/>
        <w:adjustRightInd w:val="0"/>
        <w:spacing w:after="0" w:line="240" w:lineRule="auto"/>
        <w:rPr>
          <w:rFonts w:eastAsia="Times New Roman"/>
          <w:sz w:val="22"/>
          <w:lang w:val="en-US"/>
        </w:rPr>
      </w:pPr>
      <w:r w:rsidRPr="00105427">
        <w:rPr>
          <w:rFonts w:eastAsia="Times New Roman"/>
          <w:sz w:val="22"/>
          <w:lang w:val="en-US"/>
        </w:rPr>
        <w:t>PMG541</w:t>
      </w:r>
    </w:p>
    <w:p w14:paraId="390E398B" w14:textId="77777777" w:rsidR="00E73BD8" w:rsidRPr="00105427" w:rsidRDefault="00E73BD8" w:rsidP="00E73BD8">
      <w:pPr>
        <w:widowControl w:val="0"/>
        <w:autoSpaceDE w:val="0"/>
        <w:autoSpaceDN w:val="0"/>
        <w:adjustRightInd w:val="0"/>
        <w:spacing w:after="0" w:line="240" w:lineRule="auto"/>
        <w:rPr>
          <w:rFonts w:eastAsia="Times New Roman"/>
          <w:sz w:val="22"/>
          <w:lang w:val="en-US"/>
        </w:rPr>
      </w:pPr>
      <w:r w:rsidRPr="00105427">
        <w:rPr>
          <w:rFonts w:eastAsia="Times New Roman"/>
          <w:sz w:val="22"/>
          <w:lang w:val="en-US"/>
        </w:rPr>
        <w:t>Cooking pot rim and sidewall; MB II</w:t>
      </w:r>
    </w:p>
    <w:p w14:paraId="71C25492" w14:textId="77777777" w:rsidR="00E73BD8" w:rsidRPr="00105427" w:rsidRDefault="00E73BD8" w:rsidP="00E73BD8">
      <w:pPr>
        <w:widowControl w:val="0"/>
        <w:autoSpaceDE w:val="0"/>
        <w:autoSpaceDN w:val="0"/>
        <w:adjustRightInd w:val="0"/>
        <w:spacing w:after="0" w:line="240" w:lineRule="auto"/>
        <w:rPr>
          <w:rFonts w:eastAsia="Times New Roman"/>
          <w:sz w:val="22"/>
          <w:lang w:val="en-US"/>
        </w:rPr>
      </w:pPr>
      <w:r w:rsidRPr="00105427">
        <w:rPr>
          <w:rFonts w:eastAsia="Times New Roman"/>
          <w:sz w:val="22"/>
          <w:lang w:val="en-US"/>
        </w:rPr>
        <w:t>2.76.L166.B26+.(28)</w:t>
      </w:r>
    </w:p>
    <w:p w14:paraId="47336564" w14:textId="77777777" w:rsidR="00E73BD8" w:rsidRPr="00105427" w:rsidRDefault="00E73BD8" w:rsidP="00E73BD8">
      <w:pPr>
        <w:widowControl w:val="0"/>
        <w:autoSpaceDE w:val="0"/>
        <w:autoSpaceDN w:val="0"/>
        <w:adjustRightInd w:val="0"/>
        <w:spacing w:after="0" w:line="240" w:lineRule="auto"/>
        <w:rPr>
          <w:rFonts w:eastAsia="Times New Roman"/>
          <w:sz w:val="22"/>
          <w:lang w:val="en-US"/>
        </w:rPr>
      </w:pPr>
      <w:r w:rsidRPr="00105427">
        <w:rPr>
          <w:rFonts w:eastAsia="Times New Roman"/>
          <w:sz w:val="22"/>
          <w:lang w:val="en-US"/>
        </w:rPr>
        <w:t>Harvard Semitic Museum; Israel Antiquities Authority license no. A41/89</w:t>
      </w:r>
    </w:p>
    <w:p w14:paraId="19C58D04" w14:textId="77777777" w:rsidR="00E73BD8" w:rsidRPr="00105427" w:rsidRDefault="00E73BD8" w:rsidP="00E73BD8">
      <w:pPr>
        <w:widowControl w:val="0"/>
        <w:autoSpaceDE w:val="0"/>
        <w:autoSpaceDN w:val="0"/>
        <w:adjustRightInd w:val="0"/>
        <w:spacing w:after="0" w:line="240" w:lineRule="auto"/>
        <w:rPr>
          <w:rFonts w:eastAsia="Times New Roman"/>
          <w:sz w:val="22"/>
          <w:lang w:val="en-US"/>
        </w:rPr>
      </w:pPr>
      <w:r w:rsidRPr="00105427">
        <w:rPr>
          <w:rFonts w:eastAsia="Times New Roman"/>
          <w:sz w:val="22"/>
          <w:lang w:val="en-US"/>
        </w:rPr>
        <w:t>NAA Provenience: Southern Palestine</w:t>
      </w:r>
    </w:p>
    <w:p w14:paraId="4ABF8435" w14:textId="77777777" w:rsidR="00E73BD8" w:rsidRPr="00105427" w:rsidRDefault="00E73BD8" w:rsidP="00E73BD8">
      <w:pPr>
        <w:widowControl w:val="0"/>
        <w:autoSpaceDE w:val="0"/>
        <w:autoSpaceDN w:val="0"/>
        <w:adjustRightInd w:val="0"/>
        <w:spacing w:after="0" w:line="240" w:lineRule="auto"/>
        <w:rPr>
          <w:rFonts w:eastAsia="Times New Roman"/>
          <w:sz w:val="22"/>
          <w:lang w:val="en-US"/>
        </w:rPr>
      </w:pPr>
    </w:p>
    <w:p w14:paraId="3151B58F" w14:textId="77777777" w:rsidR="003A4138" w:rsidRDefault="003A4138">
      <w:pPr>
        <w:spacing w:line="259" w:lineRule="auto"/>
        <w:rPr>
          <w:rFonts w:eastAsia="Times New Roman"/>
          <w:sz w:val="22"/>
          <w:lang w:val="en-US"/>
        </w:rPr>
      </w:pPr>
      <w:r>
        <w:rPr>
          <w:rFonts w:eastAsia="Times New Roman"/>
          <w:sz w:val="22"/>
          <w:lang w:val="en-US"/>
        </w:rPr>
        <w:br w:type="page"/>
      </w:r>
    </w:p>
    <w:p w14:paraId="303FB01C" w14:textId="25651134" w:rsidR="00E73BD8" w:rsidRPr="00105427" w:rsidRDefault="00E73BD8" w:rsidP="00E73BD8">
      <w:pPr>
        <w:widowControl w:val="0"/>
        <w:autoSpaceDE w:val="0"/>
        <w:autoSpaceDN w:val="0"/>
        <w:adjustRightInd w:val="0"/>
        <w:spacing w:after="0" w:line="240" w:lineRule="auto"/>
        <w:rPr>
          <w:rFonts w:eastAsia="Times New Roman"/>
          <w:sz w:val="22"/>
          <w:lang w:val="en-US"/>
        </w:rPr>
      </w:pPr>
      <w:r w:rsidRPr="00105427">
        <w:rPr>
          <w:rFonts w:eastAsia="Times New Roman"/>
          <w:sz w:val="22"/>
          <w:lang w:val="en-US"/>
        </w:rPr>
        <w:lastRenderedPageBreak/>
        <w:t xml:space="preserve">PMG542 </w:t>
      </w:r>
    </w:p>
    <w:p w14:paraId="1653E742" w14:textId="77777777" w:rsidR="00E73BD8" w:rsidRPr="00105427" w:rsidRDefault="00E73BD8" w:rsidP="00E73BD8">
      <w:pPr>
        <w:widowControl w:val="0"/>
        <w:autoSpaceDE w:val="0"/>
        <w:autoSpaceDN w:val="0"/>
        <w:adjustRightInd w:val="0"/>
        <w:spacing w:after="0" w:line="240" w:lineRule="auto"/>
        <w:rPr>
          <w:rFonts w:eastAsia="Times New Roman"/>
          <w:sz w:val="22"/>
          <w:lang w:val="en-US"/>
        </w:rPr>
      </w:pPr>
      <w:r w:rsidRPr="00105427">
        <w:rPr>
          <w:rFonts w:eastAsia="Times New Roman"/>
          <w:sz w:val="22"/>
          <w:lang w:val="en-US"/>
        </w:rPr>
        <w:t>Amphora rim and neck; MB II</w:t>
      </w:r>
    </w:p>
    <w:p w14:paraId="2BDB9496" w14:textId="77777777" w:rsidR="00E73BD8" w:rsidRPr="00105427" w:rsidRDefault="00E73BD8" w:rsidP="00E73BD8">
      <w:pPr>
        <w:widowControl w:val="0"/>
        <w:autoSpaceDE w:val="0"/>
        <w:autoSpaceDN w:val="0"/>
        <w:adjustRightInd w:val="0"/>
        <w:spacing w:after="0" w:line="240" w:lineRule="auto"/>
        <w:rPr>
          <w:rFonts w:eastAsia="Times New Roman"/>
          <w:sz w:val="22"/>
          <w:lang w:val="en-US"/>
        </w:rPr>
      </w:pPr>
      <w:r w:rsidRPr="00105427">
        <w:rPr>
          <w:rFonts w:eastAsia="Times New Roman"/>
          <w:sz w:val="22"/>
          <w:lang w:val="en-US"/>
        </w:rPr>
        <w:t>2.67.L17.B7+.(1)</w:t>
      </w:r>
    </w:p>
    <w:p w14:paraId="21E00E85" w14:textId="77777777" w:rsidR="00E73BD8" w:rsidRPr="00105427" w:rsidRDefault="00E73BD8" w:rsidP="00E73BD8">
      <w:pPr>
        <w:widowControl w:val="0"/>
        <w:autoSpaceDE w:val="0"/>
        <w:autoSpaceDN w:val="0"/>
        <w:adjustRightInd w:val="0"/>
        <w:spacing w:after="0" w:line="240" w:lineRule="auto"/>
        <w:rPr>
          <w:rFonts w:eastAsia="Times New Roman"/>
          <w:sz w:val="22"/>
          <w:lang w:val="en-US"/>
        </w:rPr>
      </w:pPr>
      <w:r w:rsidRPr="00105427">
        <w:rPr>
          <w:rFonts w:eastAsia="Times New Roman"/>
          <w:sz w:val="22"/>
          <w:lang w:val="en-US"/>
        </w:rPr>
        <w:t>Harvard Semitic Museum; Israel Antiquities Authority license no. A41/89</w:t>
      </w:r>
    </w:p>
    <w:p w14:paraId="2B99B77E" w14:textId="77777777" w:rsidR="00E73BD8" w:rsidRPr="00105427" w:rsidRDefault="00E73BD8" w:rsidP="00E73BD8">
      <w:pPr>
        <w:widowControl w:val="0"/>
        <w:autoSpaceDE w:val="0"/>
        <w:autoSpaceDN w:val="0"/>
        <w:adjustRightInd w:val="0"/>
        <w:spacing w:after="0" w:line="240" w:lineRule="auto"/>
        <w:rPr>
          <w:rFonts w:eastAsia="Times New Roman"/>
          <w:sz w:val="22"/>
          <w:lang w:val="en-US"/>
        </w:rPr>
      </w:pPr>
      <w:r w:rsidRPr="00105427">
        <w:rPr>
          <w:rFonts w:eastAsia="Times New Roman"/>
          <w:sz w:val="22"/>
          <w:lang w:val="en-US"/>
        </w:rPr>
        <w:t>NAA Provenience: Southern Palestine</w:t>
      </w:r>
    </w:p>
    <w:p w14:paraId="432138EF" w14:textId="77777777" w:rsidR="00E73BD8" w:rsidRPr="00105427" w:rsidRDefault="00E73BD8" w:rsidP="00E73BD8">
      <w:pPr>
        <w:widowControl w:val="0"/>
        <w:autoSpaceDE w:val="0"/>
        <w:autoSpaceDN w:val="0"/>
        <w:adjustRightInd w:val="0"/>
        <w:spacing w:after="0" w:line="240" w:lineRule="auto"/>
        <w:rPr>
          <w:rFonts w:eastAsia="Times New Roman"/>
          <w:sz w:val="22"/>
          <w:lang w:val="en-US"/>
        </w:rPr>
      </w:pPr>
    </w:p>
    <w:p w14:paraId="6C9212B2" w14:textId="77777777" w:rsidR="00E73BD8" w:rsidRPr="00105427" w:rsidRDefault="00E73BD8" w:rsidP="00E73BD8">
      <w:pPr>
        <w:widowControl w:val="0"/>
        <w:autoSpaceDE w:val="0"/>
        <w:autoSpaceDN w:val="0"/>
        <w:adjustRightInd w:val="0"/>
        <w:spacing w:after="0" w:line="240" w:lineRule="auto"/>
        <w:rPr>
          <w:rFonts w:eastAsia="Times New Roman"/>
          <w:sz w:val="22"/>
          <w:lang w:val="en-US"/>
        </w:rPr>
      </w:pPr>
      <w:r w:rsidRPr="00105427">
        <w:rPr>
          <w:rFonts w:eastAsia="Times New Roman"/>
          <w:sz w:val="22"/>
          <w:lang w:val="en-US"/>
        </w:rPr>
        <w:t>PMG543</w:t>
      </w:r>
    </w:p>
    <w:p w14:paraId="3AE429C1" w14:textId="77777777" w:rsidR="00E73BD8" w:rsidRPr="00105427" w:rsidRDefault="00E73BD8" w:rsidP="00E73BD8">
      <w:pPr>
        <w:widowControl w:val="0"/>
        <w:autoSpaceDE w:val="0"/>
        <w:autoSpaceDN w:val="0"/>
        <w:adjustRightInd w:val="0"/>
        <w:spacing w:after="0" w:line="240" w:lineRule="auto"/>
        <w:rPr>
          <w:rFonts w:eastAsia="Times New Roman"/>
          <w:sz w:val="22"/>
          <w:lang w:val="en-US"/>
        </w:rPr>
      </w:pPr>
      <w:r w:rsidRPr="00105427">
        <w:rPr>
          <w:rFonts w:eastAsia="Times New Roman"/>
          <w:sz w:val="22"/>
          <w:lang w:val="en-US"/>
        </w:rPr>
        <w:t>Jug or cooking pot (?); MB II</w:t>
      </w:r>
    </w:p>
    <w:p w14:paraId="5E22AAF3" w14:textId="77777777" w:rsidR="00E73BD8" w:rsidRPr="00105427" w:rsidRDefault="00E73BD8" w:rsidP="00E73BD8">
      <w:pPr>
        <w:widowControl w:val="0"/>
        <w:autoSpaceDE w:val="0"/>
        <w:autoSpaceDN w:val="0"/>
        <w:adjustRightInd w:val="0"/>
        <w:spacing w:after="0" w:line="240" w:lineRule="auto"/>
        <w:rPr>
          <w:rFonts w:eastAsia="Times New Roman"/>
          <w:sz w:val="22"/>
          <w:lang w:val="en-US"/>
        </w:rPr>
      </w:pPr>
      <w:r w:rsidRPr="00105427">
        <w:rPr>
          <w:rFonts w:eastAsia="Times New Roman"/>
          <w:sz w:val="22"/>
          <w:lang w:val="en-US"/>
        </w:rPr>
        <w:t>2.67.L17.F18 B19+.(6)</w:t>
      </w:r>
    </w:p>
    <w:p w14:paraId="7305244F" w14:textId="77777777" w:rsidR="00E73BD8" w:rsidRPr="00105427" w:rsidRDefault="00E73BD8" w:rsidP="00E73BD8">
      <w:pPr>
        <w:widowControl w:val="0"/>
        <w:autoSpaceDE w:val="0"/>
        <w:autoSpaceDN w:val="0"/>
        <w:adjustRightInd w:val="0"/>
        <w:spacing w:after="0" w:line="240" w:lineRule="auto"/>
        <w:rPr>
          <w:rFonts w:eastAsia="Times New Roman"/>
          <w:sz w:val="22"/>
          <w:lang w:val="en-US"/>
        </w:rPr>
      </w:pPr>
      <w:r w:rsidRPr="00105427">
        <w:rPr>
          <w:rFonts w:eastAsia="Times New Roman"/>
          <w:sz w:val="22"/>
          <w:lang w:val="en-US"/>
        </w:rPr>
        <w:t>Harvard Semitic Museum; Israel Antiquities Authority license no. A41/89</w:t>
      </w:r>
    </w:p>
    <w:p w14:paraId="274EEA74" w14:textId="77777777" w:rsidR="00E73BD8" w:rsidRPr="00105427" w:rsidRDefault="00E73BD8" w:rsidP="00E73BD8">
      <w:pPr>
        <w:widowControl w:val="0"/>
        <w:autoSpaceDE w:val="0"/>
        <w:autoSpaceDN w:val="0"/>
        <w:adjustRightInd w:val="0"/>
        <w:spacing w:after="0" w:line="240" w:lineRule="auto"/>
        <w:rPr>
          <w:rFonts w:eastAsia="Times New Roman"/>
          <w:sz w:val="22"/>
          <w:lang w:val="en-US"/>
        </w:rPr>
      </w:pPr>
      <w:r w:rsidRPr="00105427">
        <w:rPr>
          <w:rFonts w:eastAsia="Times New Roman"/>
          <w:sz w:val="22"/>
          <w:lang w:val="en-US"/>
        </w:rPr>
        <w:t>NAA Provenience: ?</w:t>
      </w:r>
    </w:p>
    <w:p w14:paraId="19853272" w14:textId="77777777" w:rsidR="00E73BD8" w:rsidRPr="00105427" w:rsidRDefault="00E73BD8" w:rsidP="00E73BD8">
      <w:pPr>
        <w:widowControl w:val="0"/>
        <w:autoSpaceDE w:val="0"/>
        <w:autoSpaceDN w:val="0"/>
        <w:adjustRightInd w:val="0"/>
        <w:spacing w:after="0" w:line="240" w:lineRule="auto"/>
        <w:rPr>
          <w:rFonts w:eastAsia="Times New Roman"/>
          <w:sz w:val="22"/>
          <w:lang w:val="en-US"/>
        </w:rPr>
      </w:pPr>
    </w:p>
    <w:p w14:paraId="25ECEBC6" w14:textId="77777777" w:rsidR="00E73BD8" w:rsidRPr="00105427" w:rsidRDefault="00E73BD8" w:rsidP="00E73BD8">
      <w:pPr>
        <w:widowControl w:val="0"/>
        <w:autoSpaceDE w:val="0"/>
        <w:autoSpaceDN w:val="0"/>
        <w:adjustRightInd w:val="0"/>
        <w:spacing w:after="0" w:line="240" w:lineRule="auto"/>
        <w:rPr>
          <w:rFonts w:eastAsia="Times New Roman"/>
          <w:sz w:val="22"/>
          <w:lang w:val="en-US"/>
        </w:rPr>
      </w:pPr>
      <w:r w:rsidRPr="00105427">
        <w:rPr>
          <w:rFonts w:eastAsia="Times New Roman"/>
          <w:sz w:val="22"/>
          <w:lang w:val="en-US"/>
        </w:rPr>
        <w:t>PMG544</w:t>
      </w:r>
    </w:p>
    <w:p w14:paraId="0D1DD2CA" w14:textId="77777777" w:rsidR="00E73BD8" w:rsidRPr="00105427" w:rsidRDefault="00E73BD8" w:rsidP="00E73BD8">
      <w:pPr>
        <w:widowControl w:val="0"/>
        <w:autoSpaceDE w:val="0"/>
        <w:autoSpaceDN w:val="0"/>
        <w:adjustRightInd w:val="0"/>
        <w:spacing w:after="0" w:line="240" w:lineRule="auto"/>
        <w:rPr>
          <w:rFonts w:eastAsia="Times New Roman"/>
          <w:sz w:val="22"/>
          <w:lang w:val="en-US"/>
        </w:rPr>
      </w:pPr>
      <w:r w:rsidRPr="00105427">
        <w:rPr>
          <w:rFonts w:eastAsia="Times New Roman"/>
          <w:sz w:val="22"/>
          <w:lang w:val="en-US"/>
        </w:rPr>
        <w:t>Amphora rim and neck; MB II</w:t>
      </w:r>
    </w:p>
    <w:p w14:paraId="4C2C4A47" w14:textId="77777777" w:rsidR="00E73BD8" w:rsidRPr="00105427" w:rsidRDefault="00E73BD8" w:rsidP="00E73BD8">
      <w:pPr>
        <w:widowControl w:val="0"/>
        <w:autoSpaceDE w:val="0"/>
        <w:autoSpaceDN w:val="0"/>
        <w:adjustRightInd w:val="0"/>
        <w:spacing w:after="0" w:line="240" w:lineRule="auto"/>
        <w:rPr>
          <w:rFonts w:eastAsia="Times New Roman"/>
          <w:sz w:val="22"/>
          <w:lang w:val="en-US"/>
        </w:rPr>
      </w:pPr>
      <w:r w:rsidRPr="00105427">
        <w:rPr>
          <w:rFonts w:eastAsia="Times New Roman"/>
          <w:sz w:val="22"/>
          <w:lang w:val="en-US"/>
        </w:rPr>
        <w:t>2.67.L19.B21+.(1)</w:t>
      </w:r>
    </w:p>
    <w:p w14:paraId="5A2A56CA" w14:textId="77777777" w:rsidR="00E73BD8" w:rsidRPr="00105427" w:rsidRDefault="00E73BD8" w:rsidP="00E73BD8">
      <w:pPr>
        <w:widowControl w:val="0"/>
        <w:autoSpaceDE w:val="0"/>
        <w:autoSpaceDN w:val="0"/>
        <w:adjustRightInd w:val="0"/>
        <w:spacing w:after="0" w:line="240" w:lineRule="auto"/>
        <w:rPr>
          <w:rFonts w:eastAsia="Times New Roman"/>
          <w:sz w:val="22"/>
          <w:lang w:val="en-US"/>
        </w:rPr>
      </w:pPr>
      <w:r w:rsidRPr="00105427">
        <w:rPr>
          <w:rFonts w:eastAsia="Times New Roman"/>
          <w:sz w:val="22"/>
          <w:lang w:val="en-US"/>
        </w:rPr>
        <w:t>Harvard Semitic Museum; Israel Antiquities Authority license no. A41/89</w:t>
      </w:r>
    </w:p>
    <w:p w14:paraId="25506AC9" w14:textId="77777777" w:rsidR="00E73BD8" w:rsidRPr="00105427" w:rsidRDefault="00E73BD8" w:rsidP="00E73BD8">
      <w:pPr>
        <w:widowControl w:val="0"/>
        <w:autoSpaceDE w:val="0"/>
        <w:autoSpaceDN w:val="0"/>
        <w:adjustRightInd w:val="0"/>
        <w:spacing w:after="0" w:line="240" w:lineRule="auto"/>
        <w:rPr>
          <w:rFonts w:eastAsia="Times New Roman"/>
          <w:sz w:val="22"/>
          <w:lang w:val="en-US"/>
        </w:rPr>
      </w:pPr>
      <w:r w:rsidRPr="00105427">
        <w:rPr>
          <w:rFonts w:eastAsia="Times New Roman"/>
          <w:sz w:val="22"/>
          <w:lang w:val="en-US"/>
        </w:rPr>
        <w:t>NAA Provenience: Southern Palestine</w:t>
      </w:r>
    </w:p>
    <w:p w14:paraId="191D6DF9" w14:textId="77777777" w:rsidR="00E73BD8" w:rsidRPr="00105427" w:rsidRDefault="00E73BD8" w:rsidP="00E73BD8">
      <w:pPr>
        <w:widowControl w:val="0"/>
        <w:autoSpaceDE w:val="0"/>
        <w:autoSpaceDN w:val="0"/>
        <w:adjustRightInd w:val="0"/>
        <w:spacing w:after="0" w:line="240" w:lineRule="auto"/>
        <w:rPr>
          <w:rFonts w:eastAsia="Times New Roman"/>
          <w:sz w:val="22"/>
          <w:lang w:val="en-US"/>
        </w:rPr>
      </w:pPr>
    </w:p>
    <w:p w14:paraId="1910B1D7" w14:textId="77777777" w:rsidR="00E73BD8" w:rsidRPr="00105427" w:rsidRDefault="00E73BD8" w:rsidP="00E73BD8">
      <w:pPr>
        <w:widowControl w:val="0"/>
        <w:autoSpaceDE w:val="0"/>
        <w:autoSpaceDN w:val="0"/>
        <w:adjustRightInd w:val="0"/>
        <w:spacing w:after="0" w:line="240" w:lineRule="auto"/>
        <w:rPr>
          <w:rFonts w:eastAsia="Times New Roman"/>
          <w:sz w:val="22"/>
          <w:lang w:val="en-US"/>
        </w:rPr>
      </w:pPr>
      <w:r w:rsidRPr="00105427">
        <w:rPr>
          <w:rFonts w:eastAsia="Times New Roman"/>
          <w:sz w:val="22"/>
          <w:lang w:val="en-US"/>
        </w:rPr>
        <w:t>PMG545</w:t>
      </w:r>
    </w:p>
    <w:p w14:paraId="30834A6A" w14:textId="77777777" w:rsidR="00E73BD8" w:rsidRPr="00105427" w:rsidRDefault="00E73BD8" w:rsidP="00E73BD8">
      <w:pPr>
        <w:widowControl w:val="0"/>
        <w:autoSpaceDE w:val="0"/>
        <w:autoSpaceDN w:val="0"/>
        <w:adjustRightInd w:val="0"/>
        <w:spacing w:after="0" w:line="240" w:lineRule="auto"/>
        <w:rPr>
          <w:rFonts w:eastAsia="Times New Roman"/>
          <w:sz w:val="22"/>
          <w:lang w:val="en-US"/>
        </w:rPr>
      </w:pPr>
      <w:r w:rsidRPr="00105427">
        <w:rPr>
          <w:rFonts w:eastAsia="Times New Roman"/>
          <w:sz w:val="22"/>
          <w:lang w:val="en-US"/>
        </w:rPr>
        <w:t>Amphora rim and neck; MB II</w:t>
      </w:r>
    </w:p>
    <w:p w14:paraId="37CA9F06" w14:textId="77777777" w:rsidR="00E73BD8" w:rsidRPr="00105427" w:rsidRDefault="00E73BD8" w:rsidP="00E73BD8">
      <w:pPr>
        <w:widowControl w:val="0"/>
        <w:autoSpaceDE w:val="0"/>
        <w:autoSpaceDN w:val="0"/>
        <w:adjustRightInd w:val="0"/>
        <w:spacing w:after="0" w:line="240" w:lineRule="auto"/>
        <w:rPr>
          <w:rFonts w:eastAsia="Times New Roman"/>
          <w:sz w:val="22"/>
          <w:lang w:val="en-US"/>
        </w:rPr>
      </w:pPr>
      <w:r w:rsidRPr="00105427">
        <w:rPr>
          <w:rFonts w:eastAsia="Times New Roman"/>
          <w:sz w:val="22"/>
          <w:lang w:val="en-US"/>
        </w:rPr>
        <w:t>2.76.L166.B21+.(4)</w:t>
      </w:r>
    </w:p>
    <w:p w14:paraId="73436CD6" w14:textId="77777777" w:rsidR="00E73BD8" w:rsidRPr="00105427" w:rsidRDefault="00E73BD8" w:rsidP="00E73BD8">
      <w:pPr>
        <w:widowControl w:val="0"/>
        <w:autoSpaceDE w:val="0"/>
        <w:autoSpaceDN w:val="0"/>
        <w:adjustRightInd w:val="0"/>
        <w:spacing w:after="0" w:line="240" w:lineRule="auto"/>
        <w:rPr>
          <w:rFonts w:eastAsia="Times New Roman"/>
          <w:sz w:val="22"/>
          <w:lang w:val="en-US"/>
        </w:rPr>
      </w:pPr>
      <w:r w:rsidRPr="00105427">
        <w:rPr>
          <w:rFonts w:eastAsia="Times New Roman"/>
          <w:sz w:val="22"/>
          <w:lang w:val="en-US"/>
        </w:rPr>
        <w:t>Harvard Semitic Museum; Israel Antiquities Authority license no. A41/89</w:t>
      </w:r>
    </w:p>
    <w:p w14:paraId="7CB34EC4" w14:textId="77777777" w:rsidR="00E73BD8" w:rsidRPr="00105427" w:rsidRDefault="00E73BD8" w:rsidP="00E73BD8">
      <w:pPr>
        <w:widowControl w:val="0"/>
        <w:autoSpaceDE w:val="0"/>
        <w:autoSpaceDN w:val="0"/>
        <w:adjustRightInd w:val="0"/>
        <w:spacing w:after="0" w:line="240" w:lineRule="auto"/>
        <w:rPr>
          <w:rFonts w:eastAsia="Times New Roman"/>
          <w:sz w:val="22"/>
          <w:lang w:val="en-US"/>
        </w:rPr>
      </w:pPr>
      <w:r w:rsidRPr="00105427">
        <w:rPr>
          <w:rFonts w:eastAsia="Times New Roman"/>
          <w:sz w:val="22"/>
          <w:lang w:val="en-US"/>
        </w:rPr>
        <w:t>NAA Provenience: Probably Southern Palestine</w:t>
      </w:r>
    </w:p>
    <w:p w14:paraId="05E1AD51" w14:textId="77777777" w:rsidR="00E73BD8" w:rsidRPr="00105427" w:rsidRDefault="00E73BD8" w:rsidP="00E73BD8">
      <w:pPr>
        <w:widowControl w:val="0"/>
        <w:autoSpaceDE w:val="0"/>
        <w:autoSpaceDN w:val="0"/>
        <w:adjustRightInd w:val="0"/>
        <w:spacing w:after="0" w:line="240" w:lineRule="auto"/>
        <w:rPr>
          <w:rFonts w:eastAsia="Times New Roman"/>
          <w:sz w:val="22"/>
          <w:lang w:val="en-US"/>
        </w:rPr>
      </w:pPr>
    </w:p>
    <w:p w14:paraId="3DC2B67F" w14:textId="77777777" w:rsidR="00E73BD8" w:rsidRPr="00105427" w:rsidRDefault="00E73BD8" w:rsidP="00E73BD8">
      <w:pPr>
        <w:widowControl w:val="0"/>
        <w:autoSpaceDE w:val="0"/>
        <w:autoSpaceDN w:val="0"/>
        <w:adjustRightInd w:val="0"/>
        <w:spacing w:after="0" w:line="240" w:lineRule="auto"/>
        <w:rPr>
          <w:rFonts w:eastAsia="Times New Roman"/>
          <w:sz w:val="22"/>
          <w:lang w:val="en-US"/>
        </w:rPr>
      </w:pPr>
      <w:r w:rsidRPr="00105427">
        <w:rPr>
          <w:rFonts w:eastAsia="Times New Roman"/>
          <w:sz w:val="22"/>
          <w:lang w:val="en-US"/>
        </w:rPr>
        <w:t>PMG546</w:t>
      </w:r>
    </w:p>
    <w:p w14:paraId="71DFF735" w14:textId="77777777" w:rsidR="00E73BD8" w:rsidRPr="00105427" w:rsidRDefault="00E73BD8" w:rsidP="00E73BD8">
      <w:pPr>
        <w:widowControl w:val="0"/>
        <w:autoSpaceDE w:val="0"/>
        <w:autoSpaceDN w:val="0"/>
        <w:adjustRightInd w:val="0"/>
        <w:spacing w:after="0" w:line="240" w:lineRule="auto"/>
        <w:rPr>
          <w:rFonts w:eastAsia="Times New Roman"/>
          <w:sz w:val="22"/>
          <w:lang w:val="en-US"/>
        </w:rPr>
      </w:pPr>
      <w:r w:rsidRPr="00105427">
        <w:rPr>
          <w:rFonts w:eastAsia="Times New Roman"/>
          <w:sz w:val="22"/>
          <w:lang w:val="en-US"/>
        </w:rPr>
        <w:t>Painted amphora (?) body sherd; MB II</w:t>
      </w:r>
    </w:p>
    <w:p w14:paraId="381B9AA0" w14:textId="77777777" w:rsidR="00E73BD8" w:rsidRPr="00105427" w:rsidRDefault="00E73BD8" w:rsidP="00E73BD8">
      <w:pPr>
        <w:widowControl w:val="0"/>
        <w:autoSpaceDE w:val="0"/>
        <w:autoSpaceDN w:val="0"/>
        <w:adjustRightInd w:val="0"/>
        <w:spacing w:after="0" w:line="240" w:lineRule="auto"/>
        <w:rPr>
          <w:rFonts w:eastAsia="Times New Roman"/>
          <w:sz w:val="22"/>
          <w:lang w:val="en-US"/>
        </w:rPr>
      </w:pPr>
      <w:r w:rsidRPr="00105427">
        <w:rPr>
          <w:rFonts w:eastAsia="Times New Roman"/>
          <w:sz w:val="22"/>
          <w:lang w:val="en-US"/>
        </w:rPr>
        <w:t>2.76.L166</w:t>
      </w:r>
      <w:bookmarkStart w:id="53" w:name="_Hlk8791750"/>
      <w:r w:rsidRPr="00105427">
        <w:rPr>
          <w:rFonts w:eastAsia="Times New Roman"/>
          <w:sz w:val="22"/>
          <w:lang w:val="en-US"/>
        </w:rPr>
        <w:t>.B21+.(21)</w:t>
      </w:r>
      <w:bookmarkEnd w:id="53"/>
    </w:p>
    <w:p w14:paraId="1607B508" w14:textId="77777777" w:rsidR="00E73BD8" w:rsidRPr="00105427" w:rsidRDefault="00E73BD8" w:rsidP="00E73BD8">
      <w:pPr>
        <w:widowControl w:val="0"/>
        <w:autoSpaceDE w:val="0"/>
        <w:autoSpaceDN w:val="0"/>
        <w:adjustRightInd w:val="0"/>
        <w:spacing w:after="0" w:line="240" w:lineRule="auto"/>
        <w:rPr>
          <w:rFonts w:eastAsia="Times New Roman"/>
          <w:sz w:val="22"/>
          <w:lang w:val="en-US"/>
        </w:rPr>
      </w:pPr>
      <w:r w:rsidRPr="00105427">
        <w:rPr>
          <w:rFonts w:eastAsia="Times New Roman"/>
          <w:sz w:val="22"/>
          <w:lang w:val="en-US"/>
        </w:rPr>
        <w:t>Harvard Semitic Museum; Israel Antiquities Authority license no. A41/89</w:t>
      </w:r>
    </w:p>
    <w:p w14:paraId="40B8C3A1" w14:textId="77777777" w:rsidR="00E73BD8" w:rsidRPr="00105427" w:rsidRDefault="00E73BD8" w:rsidP="00E73BD8">
      <w:pPr>
        <w:widowControl w:val="0"/>
        <w:autoSpaceDE w:val="0"/>
        <w:autoSpaceDN w:val="0"/>
        <w:adjustRightInd w:val="0"/>
        <w:spacing w:after="0" w:line="240" w:lineRule="auto"/>
        <w:rPr>
          <w:rFonts w:eastAsia="Times New Roman"/>
          <w:sz w:val="22"/>
          <w:lang w:val="en-US"/>
        </w:rPr>
      </w:pPr>
      <w:r w:rsidRPr="00105427">
        <w:rPr>
          <w:rFonts w:eastAsia="Times New Roman"/>
          <w:sz w:val="22"/>
          <w:lang w:val="en-US"/>
        </w:rPr>
        <w:t>NAA Provenience: Probably Southern Palestine</w:t>
      </w:r>
    </w:p>
    <w:p w14:paraId="0B35DB85" w14:textId="77777777" w:rsidR="00E73BD8" w:rsidRPr="00105427" w:rsidRDefault="00E73BD8" w:rsidP="00E73BD8">
      <w:pPr>
        <w:widowControl w:val="0"/>
        <w:autoSpaceDE w:val="0"/>
        <w:autoSpaceDN w:val="0"/>
        <w:adjustRightInd w:val="0"/>
        <w:spacing w:after="0" w:line="240" w:lineRule="auto"/>
        <w:rPr>
          <w:rFonts w:eastAsia="Times New Roman"/>
          <w:sz w:val="22"/>
          <w:lang w:val="en-US"/>
        </w:rPr>
      </w:pPr>
    </w:p>
    <w:p w14:paraId="2C33439A" w14:textId="77777777" w:rsidR="00E73BD8" w:rsidRPr="00105427" w:rsidRDefault="00E73BD8" w:rsidP="00E73BD8">
      <w:pPr>
        <w:widowControl w:val="0"/>
        <w:autoSpaceDE w:val="0"/>
        <w:autoSpaceDN w:val="0"/>
        <w:adjustRightInd w:val="0"/>
        <w:spacing w:after="0" w:line="240" w:lineRule="auto"/>
        <w:rPr>
          <w:rFonts w:eastAsia="Times New Roman"/>
          <w:sz w:val="22"/>
          <w:lang w:val="en-US"/>
        </w:rPr>
      </w:pPr>
      <w:r w:rsidRPr="00105427">
        <w:rPr>
          <w:rFonts w:eastAsia="Times New Roman"/>
          <w:sz w:val="22"/>
          <w:lang w:val="en-US"/>
        </w:rPr>
        <w:t>PMG547</w:t>
      </w:r>
    </w:p>
    <w:p w14:paraId="45B52CF5" w14:textId="77777777" w:rsidR="00E73BD8" w:rsidRPr="00105427" w:rsidRDefault="00E73BD8" w:rsidP="00E73BD8">
      <w:pPr>
        <w:widowControl w:val="0"/>
        <w:autoSpaceDE w:val="0"/>
        <w:autoSpaceDN w:val="0"/>
        <w:adjustRightInd w:val="0"/>
        <w:spacing w:after="0" w:line="240" w:lineRule="auto"/>
        <w:rPr>
          <w:rFonts w:eastAsia="Times New Roman"/>
          <w:sz w:val="22"/>
          <w:lang w:val="en-US"/>
        </w:rPr>
      </w:pPr>
      <w:r w:rsidRPr="00105427">
        <w:rPr>
          <w:rFonts w:eastAsia="Times New Roman"/>
          <w:sz w:val="22"/>
          <w:lang w:val="en-US"/>
        </w:rPr>
        <w:t>Cooking pot; MB II</w:t>
      </w:r>
    </w:p>
    <w:p w14:paraId="528A8DD1" w14:textId="77777777" w:rsidR="00E73BD8" w:rsidRPr="00105427" w:rsidRDefault="00E73BD8" w:rsidP="00E73BD8">
      <w:pPr>
        <w:widowControl w:val="0"/>
        <w:autoSpaceDE w:val="0"/>
        <w:autoSpaceDN w:val="0"/>
        <w:adjustRightInd w:val="0"/>
        <w:spacing w:after="0" w:line="240" w:lineRule="auto"/>
        <w:rPr>
          <w:rFonts w:eastAsia="Times New Roman"/>
          <w:sz w:val="22"/>
          <w:lang w:val="en-US"/>
        </w:rPr>
      </w:pPr>
      <w:r w:rsidRPr="00105427">
        <w:rPr>
          <w:rFonts w:eastAsia="Times New Roman"/>
          <w:sz w:val="22"/>
          <w:lang w:val="en-US"/>
        </w:rPr>
        <w:t>2.76.L166 B21+.(25)</w:t>
      </w:r>
    </w:p>
    <w:p w14:paraId="286F6A76" w14:textId="77777777" w:rsidR="00E73BD8" w:rsidRPr="00105427" w:rsidRDefault="00E73BD8" w:rsidP="00E73BD8">
      <w:pPr>
        <w:widowControl w:val="0"/>
        <w:autoSpaceDE w:val="0"/>
        <w:autoSpaceDN w:val="0"/>
        <w:adjustRightInd w:val="0"/>
        <w:spacing w:after="0" w:line="240" w:lineRule="auto"/>
        <w:rPr>
          <w:rFonts w:eastAsia="Times New Roman"/>
          <w:sz w:val="22"/>
          <w:lang w:val="en-US"/>
        </w:rPr>
      </w:pPr>
      <w:r w:rsidRPr="00105427">
        <w:rPr>
          <w:rFonts w:eastAsia="Times New Roman"/>
          <w:sz w:val="22"/>
          <w:lang w:val="en-US"/>
        </w:rPr>
        <w:t>Harvard Semitic Museum; Israel Antiquities Authority license no. A41/89</w:t>
      </w:r>
    </w:p>
    <w:p w14:paraId="5553FB0C" w14:textId="77777777" w:rsidR="00E73BD8" w:rsidRPr="00105427" w:rsidRDefault="00E73BD8" w:rsidP="00E73BD8">
      <w:pPr>
        <w:widowControl w:val="0"/>
        <w:autoSpaceDE w:val="0"/>
        <w:autoSpaceDN w:val="0"/>
        <w:adjustRightInd w:val="0"/>
        <w:spacing w:after="0" w:line="240" w:lineRule="auto"/>
        <w:rPr>
          <w:rFonts w:eastAsia="Times New Roman"/>
          <w:sz w:val="22"/>
          <w:lang w:val="en-US"/>
        </w:rPr>
      </w:pPr>
      <w:r w:rsidRPr="00105427">
        <w:rPr>
          <w:rFonts w:eastAsia="Times New Roman"/>
          <w:sz w:val="22"/>
          <w:lang w:val="en-US"/>
        </w:rPr>
        <w:t>NAA Provenience: Southern Palestine</w:t>
      </w:r>
    </w:p>
    <w:p w14:paraId="11D2CE75" w14:textId="77777777" w:rsidR="00E73BD8" w:rsidRPr="00105427" w:rsidRDefault="00E73BD8" w:rsidP="00E73BD8">
      <w:pPr>
        <w:widowControl w:val="0"/>
        <w:autoSpaceDE w:val="0"/>
        <w:autoSpaceDN w:val="0"/>
        <w:adjustRightInd w:val="0"/>
        <w:spacing w:after="0" w:line="240" w:lineRule="auto"/>
        <w:rPr>
          <w:rFonts w:eastAsia="Times New Roman"/>
          <w:sz w:val="22"/>
          <w:lang w:val="en-US"/>
        </w:rPr>
      </w:pPr>
    </w:p>
    <w:p w14:paraId="39B22C44" w14:textId="77777777" w:rsidR="003F7D74" w:rsidRDefault="003F7D74">
      <w:pPr>
        <w:spacing w:line="259" w:lineRule="auto"/>
        <w:rPr>
          <w:rFonts w:eastAsia="Times New Roman"/>
          <w:sz w:val="22"/>
          <w:lang w:val="en-US"/>
        </w:rPr>
      </w:pPr>
      <w:r>
        <w:rPr>
          <w:rFonts w:eastAsia="Times New Roman"/>
          <w:sz w:val="22"/>
          <w:lang w:val="en-US"/>
        </w:rPr>
        <w:br w:type="page"/>
      </w:r>
    </w:p>
    <w:p w14:paraId="5F4722D6" w14:textId="189C27DE" w:rsidR="00E73BD8" w:rsidRPr="00105427" w:rsidRDefault="00E73BD8" w:rsidP="00E73BD8">
      <w:pPr>
        <w:widowControl w:val="0"/>
        <w:autoSpaceDE w:val="0"/>
        <w:autoSpaceDN w:val="0"/>
        <w:adjustRightInd w:val="0"/>
        <w:spacing w:after="0" w:line="240" w:lineRule="auto"/>
        <w:rPr>
          <w:rFonts w:eastAsia="Times New Roman"/>
          <w:sz w:val="22"/>
          <w:lang w:val="en-US"/>
        </w:rPr>
      </w:pPr>
      <w:r w:rsidRPr="00105427">
        <w:rPr>
          <w:rFonts w:eastAsia="Times New Roman"/>
          <w:sz w:val="22"/>
          <w:lang w:val="en-US"/>
        </w:rPr>
        <w:lastRenderedPageBreak/>
        <w:t>PMG548</w:t>
      </w:r>
    </w:p>
    <w:p w14:paraId="47105EC2" w14:textId="77777777" w:rsidR="00E73BD8" w:rsidRPr="00105427" w:rsidRDefault="00E73BD8" w:rsidP="00E73BD8">
      <w:pPr>
        <w:widowControl w:val="0"/>
        <w:autoSpaceDE w:val="0"/>
        <w:autoSpaceDN w:val="0"/>
        <w:adjustRightInd w:val="0"/>
        <w:spacing w:after="0" w:line="240" w:lineRule="auto"/>
        <w:rPr>
          <w:rFonts w:eastAsia="Times New Roman"/>
          <w:sz w:val="22"/>
          <w:lang w:val="en-US"/>
        </w:rPr>
      </w:pPr>
      <w:r w:rsidRPr="00105427">
        <w:rPr>
          <w:rFonts w:eastAsia="Times New Roman"/>
          <w:sz w:val="22"/>
          <w:lang w:val="en-US"/>
        </w:rPr>
        <w:t>2.76.L163.F163.B11; MB II</w:t>
      </w:r>
    </w:p>
    <w:p w14:paraId="5A100B59" w14:textId="77777777" w:rsidR="00E73BD8" w:rsidRPr="00105427" w:rsidRDefault="00E73BD8" w:rsidP="00E73BD8">
      <w:pPr>
        <w:widowControl w:val="0"/>
        <w:autoSpaceDE w:val="0"/>
        <w:autoSpaceDN w:val="0"/>
        <w:adjustRightInd w:val="0"/>
        <w:spacing w:after="0" w:line="240" w:lineRule="auto"/>
        <w:rPr>
          <w:rFonts w:eastAsia="Times New Roman"/>
          <w:sz w:val="22"/>
          <w:lang w:val="en-US"/>
        </w:rPr>
      </w:pPr>
      <w:bookmarkStart w:id="54" w:name="_Hlk8889199"/>
      <w:r w:rsidRPr="00105427">
        <w:rPr>
          <w:rFonts w:eastAsia="Times New Roman"/>
          <w:sz w:val="22"/>
          <w:lang w:val="en-US"/>
        </w:rPr>
        <w:t>Cypriot White Slip Ware bowl, painted</w:t>
      </w:r>
    </w:p>
    <w:bookmarkEnd w:id="54"/>
    <w:p w14:paraId="34902B20" w14:textId="77777777" w:rsidR="00E73BD8" w:rsidRPr="00105427" w:rsidRDefault="00E73BD8" w:rsidP="00E73BD8">
      <w:pPr>
        <w:widowControl w:val="0"/>
        <w:autoSpaceDE w:val="0"/>
        <w:autoSpaceDN w:val="0"/>
        <w:adjustRightInd w:val="0"/>
        <w:spacing w:after="0" w:line="240" w:lineRule="auto"/>
        <w:rPr>
          <w:rFonts w:eastAsia="Times New Roman"/>
          <w:sz w:val="22"/>
          <w:lang w:val="en-US"/>
        </w:rPr>
      </w:pPr>
      <w:r w:rsidRPr="00105427">
        <w:rPr>
          <w:rFonts w:eastAsia="Times New Roman"/>
          <w:sz w:val="22"/>
          <w:lang w:val="en-US"/>
        </w:rPr>
        <w:t>Harvard Semitic Museum; Israel Antiquities Authority license no. A41/89</w:t>
      </w:r>
    </w:p>
    <w:p w14:paraId="19D343A4" w14:textId="77777777" w:rsidR="00E73BD8" w:rsidRPr="00105427" w:rsidRDefault="00E73BD8" w:rsidP="00E73BD8">
      <w:pPr>
        <w:widowControl w:val="0"/>
        <w:autoSpaceDE w:val="0"/>
        <w:autoSpaceDN w:val="0"/>
        <w:adjustRightInd w:val="0"/>
        <w:spacing w:after="0" w:line="240" w:lineRule="auto"/>
        <w:rPr>
          <w:rFonts w:eastAsia="Times New Roman"/>
          <w:sz w:val="22"/>
          <w:lang w:val="en-US"/>
        </w:rPr>
      </w:pPr>
      <w:r w:rsidRPr="00105427">
        <w:rPr>
          <w:rFonts w:eastAsia="Times New Roman"/>
          <w:sz w:val="22"/>
          <w:lang w:val="en-US"/>
        </w:rPr>
        <w:t>NAA Provenience: ?</w:t>
      </w:r>
    </w:p>
    <w:p w14:paraId="58D6BC53" w14:textId="77777777" w:rsidR="00E73BD8" w:rsidRPr="00105427" w:rsidRDefault="00E73BD8" w:rsidP="00E73BD8">
      <w:pPr>
        <w:widowControl w:val="0"/>
        <w:autoSpaceDE w:val="0"/>
        <w:autoSpaceDN w:val="0"/>
        <w:adjustRightInd w:val="0"/>
        <w:spacing w:after="0" w:line="240" w:lineRule="auto"/>
        <w:rPr>
          <w:rFonts w:eastAsia="Times New Roman"/>
          <w:sz w:val="22"/>
          <w:lang w:val="en-US"/>
        </w:rPr>
      </w:pPr>
    </w:p>
    <w:p w14:paraId="41039C83" w14:textId="03590486" w:rsidR="00E73BD8" w:rsidRPr="00105427" w:rsidRDefault="00E73BD8" w:rsidP="00E73BD8">
      <w:pPr>
        <w:widowControl w:val="0"/>
        <w:tabs>
          <w:tab w:val="left" w:pos="0"/>
          <w:tab w:val="left" w:pos="204"/>
        </w:tabs>
        <w:autoSpaceDE w:val="0"/>
        <w:autoSpaceDN w:val="0"/>
        <w:adjustRightInd w:val="0"/>
        <w:spacing w:after="0" w:line="240" w:lineRule="auto"/>
        <w:rPr>
          <w:rFonts w:eastAsia="Times New Roman"/>
          <w:sz w:val="22"/>
          <w:lang w:val="en-US"/>
        </w:rPr>
      </w:pPr>
      <w:r w:rsidRPr="00105427">
        <w:rPr>
          <w:rFonts w:eastAsia="Times New Roman"/>
          <w:sz w:val="22"/>
          <w:lang w:val="en-US"/>
        </w:rPr>
        <w:t>PMG549</w:t>
      </w:r>
    </w:p>
    <w:p w14:paraId="429817B2" w14:textId="77777777" w:rsidR="00E73BD8" w:rsidRPr="00105427" w:rsidRDefault="00E73BD8" w:rsidP="00E73BD8">
      <w:pPr>
        <w:widowControl w:val="0"/>
        <w:tabs>
          <w:tab w:val="left" w:pos="0"/>
          <w:tab w:val="left" w:pos="204"/>
        </w:tabs>
        <w:autoSpaceDE w:val="0"/>
        <w:autoSpaceDN w:val="0"/>
        <w:adjustRightInd w:val="0"/>
        <w:spacing w:after="0" w:line="240" w:lineRule="auto"/>
        <w:rPr>
          <w:rFonts w:eastAsia="Times New Roman"/>
          <w:sz w:val="22"/>
          <w:lang w:val="en-US"/>
        </w:rPr>
      </w:pPr>
      <w:r w:rsidRPr="00105427">
        <w:rPr>
          <w:rFonts w:eastAsia="Times New Roman"/>
          <w:sz w:val="22"/>
          <w:lang w:val="en-US"/>
        </w:rPr>
        <w:t>Jar; MB II</w:t>
      </w:r>
    </w:p>
    <w:p w14:paraId="5FD1D3CA" w14:textId="77777777" w:rsidR="00E73BD8" w:rsidRPr="00105427" w:rsidRDefault="00E73BD8" w:rsidP="00E73BD8">
      <w:pPr>
        <w:widowControl w:val="0"/>
        <w:tabs>
          <w:tab w:val="left" w:pos="0"/>
          <w:tab w:val="left" w:pos="204"/>
        </w:tabs>
        <w:autoSpaceDE w:val="0"/>
        <w:autoSpaceDN w:val="0"/>
        <w:adjustRightInd w:val="0"/>
        <w:spacing w:after="0" w:line="240" w:lineRule="auto"/>
        <w:rPr>
          <w:rFonts w:eastAsia="Times New Roman"/>
          <w:sz w:val="22"/>
          <w:lang w:val="en-US"/>
        </w:rPr>
      </w:pPr>
      <w:r w:rsidRPr="00105427">
        <w:rPr>
          <w:rFonts w:eastAsia="Times New Roman"/>
          <w:sz w:val="22"/>
          <w:lang w:val="en-US"/>
        </w:rPr>
        <w:t>2.76.L163.F163.B11</w:t>
      </w:r>
    </w:p>
    <w:p w14:paraId="0FB6DB34" w14:textId="77777777" w:rsidR="00E73BD8" w:rsidRPr="00105427" w:rsidRDefault="00E73BD8" w:rsidP="00E73BD8">
      <w:pPr>
        <w:widowControl w:val="0"/>
        <w:tabs>
          <w:tab w:val="left" w:pos="0"/>
          <w:tab w:val="left" w:pos="204"/>
        </w:tabs>
        <w:autoSpaceDE w:val="0"/>
        <w:autoSpaceDN w:val="0"/>
        <w:adjustRightInd w:val="0"/>
        <w:spacing w:after="0" w:line="240" w:lineRule="auto"/>
        <w:rPr>
          <w:rFonts w:eastAsia="Times New Roman"/>
          <w:sz w:val="22"/>
          <w:lang w:val="en-US"/>
        </w:rPr>
      </w:pPr>
      <w:r w:rsidRPr="00105427">
        <w:rPr>
          <w:rFonts w:eastAsia="Times New Roman"/>
          <w:sz w:val="22"/>
          <w:lang w:val="en-US"/>
        </w:rPr>
        <w:t>Harvard Semitic Museum; Israel Antiquities Authority license no. A41/89</w:t>
      </w:r>
    </w:p>
    <w:p w14:paraId="7504262A" w14:textId="77777777" w:rsidR="00E73BD8" w:rsidRPr="00105427" w:rsidRDefault="00E73BD8" w:rsidP="00E73BD8">
      <w:pPr>
        <w:widowControl w:val="0"/>
        <w:autoSpaceDE w:val="0"/>
        <w:autoSpaceDN w:val="0"/>
        <w:adjustRightInd w:val="0"/>
        <w:spacing w:after="0" w:line="240" w:lineRule="auto"/>
        <w:rPr>
          <w:rFonts w:eastAsia="Times New Roman"/>
          <w:sz w:val="22"/>
          <w:lang w:val="en-US"/>
        </w:rPr>
      </w:pPr>
      <w:r w:rsidRPr="00105427">
        <w:rPr>
          <w:rFonts w:eastAsia="Times New Roman"/>
          <w:sz w:val="22"/>
          <w:lang w:val="en-US"/>
        </w:rPr>
        <w:t>NAA Provenience: Probably Southern Palestine</w:t>
      </w:r>
    </w:p>
    <w:p w14:paraId="3B391604" w14:textId="77777777" w:rsidR="00E73BD8" w:rsidRPr="00105427" w:rsidRDefault="00E73BD8" w:rsidP="00E73BD8">
      <w:pPr>
        <w:widowControl w:val="0"/>
        <w:tabs>
          <w:tab w:val="left" w:pos="0"/>
          <w:tab w:val="left" w:pos="204"/>
        </w:tabs>
        <w:autoSpaceDE w:val="0"/>
        <w:autoSpaceDN w:val="0"/>
        <w:adjustRightInd w:val="0"/>
        <w:spacing w:after="0" w:line="240" w:lineRule="auto"/>
        <w:rPr>
          <w:rFonts w:eastAsia="Times New Roman"/>
          <w:sz w:val="22"/>
          <w:lang w:val="en-US"/>
        </w:rPr>
      </w:pPr>
    </w:p>
    <w:p w14:paraId="180E5B91" w14:textId="77777777" w:rsidR="00E73BD8" w:rsidRPr="00105427" w:rsidRDefault="00E73BD8" w:rsidP="00E73BD8">
      <w:pPr>
        <w:widowControl w:val="0"/>
        <w:tabs>
          <w:tab w:val="left" w:pos="0"/>
          <w:tab w:val="left" w:pos="204"/>
        </w:tabs>
        <w:autoSpaceDE w:val="0"/>
        <w:autoSpaceDN w:val="0"/>
        <w:adjustRightInd w:val="0"/>
        <w:spacing w:after="0" w:line="240" w:lineRule="auto"/>
        <w:rPr>
          <w:rFonts w:eastAsia="Times New Roman"/>
          <w:sz w:val="22"/>
          <w:lang w:val="en-US"/>
        </w:rPr>
      </w:pPr>
      <w:r w:rsidRPr="00105427">
        <w:rPr>
          <w:rFonts w:eastAsia="Times New Roman"/>
          <w:sz w:val="22"/>
          <w:lang w:val="en-US"/>
        </w:rPr>
        <w:t>PMG550</w:t>
      </w:r>
    </w:p>
    <w:p w14:paraId="79DB816B" w14:textId="77777777" w:rsidR="00E73BD8" w:rsidRPr="00105427" w:rsidRDefault="00E73BD8" w:rsidP="00E73BD8">
      <w:pPr>
        <w:widowControl w:val="0"/>
        <w:tabs>
          <w:tab w:val="left" w:pos="0"/>
          <w:tab w:val="left" w:pos="204"/>
        </w:tabs>
        <w:autoSpaceDE w:val="0"/>
        <w:autoSpaceDN w:val="0"/>
        <w:adjustRightInd w:val="0"/>
        <w:spacing w:after="0" w:line="240" w:lineRule="auto"/>
        <w:rPr>
          <w:rFonts w:eastAsia="Times New Roman"/>
          <w:sz w:val="22"/>
          <w:lang w:val="en-US"/>
        </w:rPr>
      </w:pPr>
      <w:r w:rsidRPr="00105427">
        <w:rPr>
          <w:rFonts w:eastAsia="Times New Roman"/>
          <w:sz w:val="22"/>
          <w:lang w:val="en-US"/>
        </w:rPr>
        <w:t>Jar; MB II</w:t>
      </w:r>
    </w:p>
    <w:p w14:paraId="7500EB77" w14:textId="77777777" w:rsidR="00E73BD8" w:rsidRPr="00105427" w:rsidRDefault="00E73BD8" w:rsidP="00E73BD8">
      <w:pPr>
        <w:widowControl w:val="0"/>
        <w:tabs>
          <w:tab w:val="left" w:pos="0"/>
          <w:tab w:val="left" w:pos="204"/>
        </w:tabs>
        <w:autoSpaceDE w:val="0"/>
        <w:autoSpaceDN w:val="0"/>
        <w:adjustRightInd w:val="0"/>
        <w:spacing w:after="0" w:line="240" w:lineRule="auto"/>
        <w:rPr>
          <w:rFonts w:eastAsia="Times New Roman"/>
          <w:sz w:val="22"/>
          <w:lang w:val="en-US"/>
        </w:rPr>
      </w:pPr>
      <w:r w:rsidRPr="00105427">
        <w:rPr>
          <w:rFonts w:eastAsia="Times New Roman"/>
          <w:sz w:val="22"/>
          <w:lang w:val="en-US"/>
        </w:rPr>
        <w:t>2.76.L163.F163.B11</w:t>
      </w:r>
    </w:p>
    <w:p w14:paraId="3F562F57" w14:textId="77777777" w:rsidR="00E73BD8" w:rsidRPr="00105427" w:rsidRDefault="00E73BD8" w:rsidP="00E73BD8">
      <w:pPr>
        <w:widowControl w:val="0"/>
        <w:tabs>
          <w:tab w:val="left" w:pos="0"/>
          <w:tab w:val="left" w:pos="204"/>
        </w:tabs>
        <w:autoSpaceDE w:val="0"/>
        <w:autoSpaceDN w:val="0"/>
        <w:adjustRightInd w:val="0"/>
        <w:spacing w:after="0" w:line="240" w:lineRule="auto"/>
        <w:rPr>
          <w:rFonts w:eastAsia="Times New Roman"/>
          <w:sz w:val="22"/>
          <w:lang w:val="en-US"/>
        </w:rPr>
      </w:pPr>
      <w:r w:rsidRPr="00105427">
        <w:rPr>
          <w:rFonts w:eastAsia="Times New Roman"/>
          <w:sz w:val="22"/>
          <w:lang w:val="en-US"/>
        </w:rPr>
        <w:t xml:space="preserve">Harvard Semitic Museum; Israel Antiquities Authority license no. A41/89 </w:t>
      </w:r>
    </w:p>
    <w:p w14:paraId="6862E0DD" w14:textId="77777777" w:rsidR="00E73BD8" w:rsidRPr="00105427" w:rsidRDefault="00E73BD8" w:rsidP="00E73BD8">
      <w:pPr>
        <w:widowControl w:val="0"/>
        <w:autoSpaceDE w:val="0"/>
        <w:autoSpaceDN w:val="0"/>
        <w:adjustRightInd w:val="0"/>
        <w:spacing w:after="0" w:line="240" w:lineRule="auto"/>
        <w:rPr>
          <w:rFonts w:eastAsia="Times New Roman"/>
          <w:sz w:val="22"/>
          <w:lang w:val="en-US"/>
        </w:rPr>
      </w:pPr>
      <w:r w:rsidRPr="00105427">
        <w:rPr>
          <w:rFonts w:eastAsia="Times New Roman"/>
          <w:sz w:val="22"/>
          <w:lang w:val="en-US"/>
        </w:rPr>
        <w:t>NAA Provenience: Probably Southern Palestine</w:t>
      </w:r>
    </w:p>
    <w:p w14:paraId="34596A55" w14:textId="77777777" w:rsidR="00E73BD8" w:rsidRPr="00105427" w:rsidRDefault="00E73BD8" w:rsidP="00E73BD8">
      <w:pPr>
        <w:widowControl w:val="0"/>
        <w:tabs>
          <w:tab w:val="left" w:pos="0"/>
          <w:tab w:val="left" w:pos="204"/>
        </w:tabs>
        <w:autoSpaceDE w:val="0"/>
        <w:autoSpaceDN w:val="0"/>
        <w:adjustRightInd w:val="0"/>
        <w:spacing w:after="0" w:line="240" w:lineRule="auto"/>
        <w:rPr>
          <w:rFonts w:eastAsia="Times New Roman"/>
          <w:sz w:val="22"/>
          <w:lang w:val="en-US"/>
        </w:rPr>
      </w:pPr>
    </w:p>
    <w:p w14:paraId="655115DE" w14:textId="77777777" w:rsidR="00E73BD8" w:rsidRPr="00105427" w:rsidRDefault="00E73BD8" w:rsidP="00E73BD8">
      <w:pPr>
        <w:widowControl w:val="0"/>
        <w:tabs>
          <w:tab w:val="left" w:pos="0"/>
          <w:tab w:val="left" w:pos="204"/>
        </w:tabs>
        <w:autoSpaceDE w:val="0"/>
        <w:autoSpaceDN w:val="0"/>
        <w:adjustRightInd w:val="0"/>
        <w:spacing w:after="0" w:line="240" w:lineRule="auto"/>
        <w:rPr>
          <w:rFonts w:eastAsia="Times New Roman"/>
          <w:sz w:val="22"/>
          <w:lang w:val="en-US"/>
        </w:rPr>
      </w:pPr>
      <w:r w:rsidRPr="00105427">
        <w:rPr>
          <w:rFonts w:eastAsia="Times New Roman"/>
          <w:sz w:val="22"/>
          <w:lang w:val="en-US"/>
        </w:rPr>
        <w:t>PMG551</w:t>
      </w:r>
    </w:p>
    <w:p w14:paraId="72C0E16D" w14:textId="77777777" w:rsidR="00E73BD8" w:rsidRPr="00105427" w:rsidRDefault="00E73BD8" w:rsidP="00E73BD8">
      <w:pPr>
        <w:widowControl w:val="0"/>
        <w:tabs>
          <w:tab w:val="left" w:pos="0"/>
          <w:tab w:val="left" w:pos="204"/>
        </w:tabs>
        <w:autoSpaceDE w:val="0"/>
        <w:autoSpaceDN w:val="0"/>
        <w:adjustRightInd w:val="0"/>
        <w:spacing w:after="0" w:line="240" w:lineRule="auto"/>
        <w:rPr>
          <w:rFonts w:eastAsia="Times New Roman"/>
          <w:sz w:val="22"/>
          <w:lang w:val="en-US"/>
        </w:rPr>
      </w:pPr>
      <w:r w:rsidRPr="00105427">
        <w:rPr>
          <w:rFonts w:eastAsia="Times New Roman"/>
          <w:sz w:val="22"/>
          <w:lang w:val="en-US"/>
        </w:rPr>
        <w:t>Jar; MB II</w:t>
      </w:r>
    </w:p>
    <w:p w14:paraId="6C95157F" w14:textId="77777777" w:rsidR="00E73BD8" w:rsidRPr="00105427" w:rsidRDefault="00E73BD8" w:rsidP="00E73BD8">
      <w:pPr>
        <w:widowControl w:val="0"/>
        <w:tabs>
          <w:tab w:val="left" w:pos="0"/>
          <w:tab w:val="left" w:pos="204"/>
        </w:tabs>
        <w:autoSpaceDE w:val="0"/>
        <w:autoSpaceDN w:val="0"/>
        <w:adjustRightInd w:val="0"/>
        <w:spacing w:after="0" w:line="240" w:lineRule="auto"/>
        <w:rPr>
          <w:rFonts w:eastAsia="Times New Roman"/>
          <w:sz w:val="22"/>
          <w:lang w:val="en-US"/>
        </w:rPr>
      </w:pPr>
      <w:r w:rsidRPr="00105427">
        <w:rPr>
          <w:rFonts w:eastAsia="Times New Roman"/>
          <w:sz w:val="22"/>
          <w:lang w:val="en-US"/>
        </w:rPr>
        <w:t>2.76.L163.F163 B11</w:t>
      </w:r>
    </w:p>
    <w:p w14:paraId="2E668F91" w14:textId="77777777" w:rsidR="00E73BD8" w:rsidRPr="00105427" w:rsidRDefault="00E73BD8" w:rsidP="00E73BD8">
      <w:pPr>
        <w:widowControl w:val="0"/>
        <w:tabs>
          <w:tab w:val="left" w:pos="0"/>
          <w:tab w:val="left" w:pos="204"/>
        </w:tabs>
        <w:autoSpaceDE w:val="0"/>
        <w:autoSpaceDN w:val="0"/>
        <w:adjustRightInd w:val="0"/>
        <w:spacing w:after="0" w:line="240" w:lineRule="auto"/>
        <w:rPr>
          <w:rFonts w:eastAsia="Times New Roman"/>
          <w:sz w:val="22"/>
          <w:lang w:val="en-US"/>
        </w:rPr>
      </w:pPr>
      <w:r w:rsidRPr="00105427">
        <w:rPr>
          <w:rFonts w:eastAsia="Times New Roman"/>
          <w:sz w:val="22"/>
          <w:lang w:val="en-US"/>
        </w:rPr>
        <w:t>Harvard Semitic Museum; Israel Antiquities Authority license no. A41/89</w:t>
      </w:r>
    </w:p>
    <w:p w14:paraId="2F9E6CD7" w14:textId="77777777" w:rsidR="00E73BD8" w:rsidRPr="00105427" w:rsidRDefault="00E73BD8" w:rsidP="00E73BD8">
      <w:pPr>
        <w:widowControl w:val="0"/>
        <w:tabs>
          <w:tab w:val="left" w:pos="0"/>
          <w:tab w:val="left" w:pos="204"/>
        </w:tabs>
        <w:autoSpaceDE w:val="0"/>
        <w:autoSpaceDN w:val="0"/>
        <w:adjustRightInd w:val="0"/>
        <w:spacing w:after="0" w:line="240" w:lineRule="auto"/>
        <w:rPr>
          <w:rFonts w:eastAsia="Times New Roman"/>
          <w:sz w:val="22"/>
          <w:lang w:val="en-US"/>
        </w:rPr>
      </w:pPr>
      <w:r w:rsidRPr="00105427">
        <w:rPr>
          <w:rFonts w:eastAsia="Times New Roman"/>
          <w:sz w:val="22"/>
          <w:lang w:val="en-US"/>
        </w:rPr>
        <w:t>NAA Provenience: Southern Palestine</w:t>
      </w:r>
    </w:p>
    <w:p w14:paraId="6BC252AA" w14:textId="77777777" w:rsidR="00E73BD8" w:rsidRPr="00105427" w:rsidRDefault="00E73BD8" w:rsidP="00E73BD8">
      <w:pPr>
        <w:widowControl w:val="0"/>
        <w:tabs>
          <w:tab w:val="left" w:pos="0"/>
          <w:tab w:val="left" w:pos="204"/>
        </w:tabs>
        <w:autoSpaceDE w:val="0"/>
        <w:autoSpaceDN w:val="0"/>
        <w:adjustRightInd w:val="0"/>
        <w:spacing w:after="0" w:line="240" w:lineRule="auto"/>
        <w:rPr>
          <w:rFonts w:eastAsia="Times New Roman"/>
          <w:sz w:val="22"/>
          <w:lang w:val="en-US"/>
        </w:rPr>
      </w:pPr>
    </w:p>
    <w:p w14:paraId="18EA2671" w14:textId="77777777" w:rsidR="00E73BD8" w:rsidRPr="00105427" w:rsidRDefault="00E73BD8" w:rsidP="00E73BD8">
      <w:pPr>
        <w:widowControl w:val="0"/>
        <w:tabs>
          <w:tab w:val="left" w:pos="0"/>
          <w:tab w:val="left" w:pos="204"/>
        </w:tabs>
        <w:autoSpaceDE w:val="0"/>
        <w:autoSpaceDN w:val="0"/>
        <w:adjustRightInd w:val="0"/>
        <w:spacing w:after="0" w:line="240" w:lineRule="auto"/>
        <w:rPr>
          <w:rFonts w:eastAsia="Times New Roman"/>
          <w:sz w:val="22"/>
          <w:lang w:val="en-US"/>
        </w:rPr>
      </w:pPr>
      <w:r w:rsidRPr="00105427">
        <w:rPr>
          <w:rFonts w:eastAsia="Times New Roman"/>
          <w:sz w:val="22"/>
          <w:lang w:val="en-US"/>
        </w:rPr>
        <w:t>PMG552</w:t>
      </w:r>
    </w:p>
    <w:p w14:paraId="69D17911" w14:textId="77777777" w:rsidR="00E73BD8" w:rsidRPr="00105427" w:rsidRDefault="00E73BD8" w:rsidP="00E73BD8">
      <w:pPr>
        <w:widowControl w:val="0"/>
        <w:tabs>
          <w:tab w:val="left" w:pos="0"/>
          <w:tab w:val="left" w:pos="204"/>
        </w:tabs>
        <w:autoSpaceDE w:val="0"/>
        <w:autoSpaceDN w:val="0"/>
        <w:adjustRightInd w:val="0"/>
        <w:spacing w:after="0" w:line="240" w:lineRule="auto"/>
        <w:rPr>
          <w:rFonts w:eastAsia="Times New Roman"/>
          <w:sz w:val="22"/>
          <w:lang w:val="en-US"/>
        </w:rPr>
      </w:pPr>
      <w:r w:rsidRPr="00105427">
        <w:rPr>
          <w:rFonts w:eastAsia="Times New Roman"/>
          <w:sz w:val="22"/>
          <w:lang w:val="en-US"/>
        </w:rPr>
        <w:t>Bichrome Painted and burnished jar body sherd; MB II</w:t>
      </w:r>
    </w:p>
    <w:p w14:paraId="241E6DF9" w14:textId="77777777" w:rsidR="00E73BD8" w:rsidRPr="00105427" w:rsidRDefault="00E73BD8" w:rsidP="00E73BD8">
      <w:pPr>
        <w:widowControl w:val="0"/>
        <w:tabs>
          <w:tab w:val="left" w:pos="0"/>
          <w:tab w:val="left" w:pos="204"/>
        </w:tabs>
        <w:autoSpaceDE w:val="0"/>
        <w:autoSpaceDN w:val="0"/>
        <w:adjustRightInd w:val="0"/>
        <w:spacing w:after="0" w:line="240" w:lineRule="auto"/>
        <w:rPr>
          <w:rFonts w:eastAsia="Times New Roman"/>
          <w:sz w:val="22"/>
          <w:lang w:val="en-US"/>
        </w:rPr>
      </w:pPr>
      <w:r w:rsidRPr="00105427">
        <w:rPr>
          <w:rFonts w:eastAsia="Times New Roman"/>
          <w:sz w:val="22"/>
          <w:lang w:val="en-US"/>
        </w:rPr>
        <w:t>2.76.L163.F163.B38</w:t>
      </w:r>
    </w:p>
    <w:p w14:paraId="3E6DB968" w14:textId="77777777" w:rsidR="00E73BD8" w:rsidRPr="00105427" w:rsidRDefault="00E73BD8" w:rsidP="00E73BD8">
      <w:pPr>
        <w:widowControl w:val="0"/>
        <w:tabs>
          <w:tab w:val="left" w:pos="0"/>
          <w:tab w:val="left" w:pos="204"/>
        </w:tabs>
        <w:autoSpaceDE w:val="0"/>
        <w:autoSpaceDN w:val="0"/>
        <w:adjustRightInd w:val="0"/>
        <w:spacing w:after="0" w:line="240" w:lineRule="auto"/>
        <w:rPr>
          <w:rFonts w:eastAsia="Times New Roman"/>
          <w:sz w:val="22"/>
          <w:lang w:val="en-US"/>
        </w:rPr>
      </w:pPr>
      <w:r w:rsidRPr="00105427">
        <w:rPr>
          <w:rFonts w:eastAsia="Times New Roman"/>
          <w:sz w:val="22"/>
          <w:lang w:val="en-US"/>
        </w:rPr>
        <w:t>Harvard Semitic Museum; Israel Antiquities Authority license no. A41/89</w:t>
      </w:r>
    </w:p>
    <w:p w14:paraId="126E9D5B" w14:textId="77777777" w:rsidR="00E73BD8" w:rsidRPr="00105427" w:rsidRDefault="00E73BD8" w:rsidP="00E73BD8">
      <w:pPr>
        <w:widowControl w:val="0"/>
        <w:tabs>
          <w:tab w:val="left" w:pos="0"/>
          <w:tab w:val="left" w:pos="204"/>
        </w:tabs>
        <w:autoSpaceDE w:val="0"/>
        <w:autoSpaceDN w:val="0"/>
        <w:adjustRightInd w:val="0"/>
        <w:spacing w:after="0" w:line="240" w:lineRule="auto"/>
        <w:rPr>
          <w:rFonts w:eastAsia="Times New Roman"/>
          <w:sz w:val="22"/>
          <w:lang w:val="en-US"/>
        </w:rPr>
      </w:pPr>
      <w:r w:rsidRPr="00105427">
        <w:rPr>
          <w:rFonts w:eastAsia="Times New Roman"/>
          <w:sz w:val="22"/>
          <w:lang w:val="en-US"/>
        </w:rPr>
        <w:t>NAA Provenience: Southern Palestine</w:t>
      </w:r>
    </w:p>
    <w:p w14:paraId="389765FB" w14:textId="77777777" w:rsidR="00E73BD8" w:rsidRPr="00105427" w:rsidRDefault="00E73BD8" w:rsidP="00E73BD8">
      <w:pPr>
        <w:widowControl w:val="0"/>
        <w:tabs>
          <w:tab w:val="left" w:pos="0"/>
          <w:tab w:val="left" w:pos="204"/>
        </w:tabs>
        <w:autoSpaceDE w:val="0"/>
        <w:autoSpaceDN w:val="0"/>
        <w:adjustRightInd w:val="0"/>
        <w:spacing w:after="0" w:line="240" w:lineRule="auto"/>
        <w:rPr>
          <w:rFonts w:eastAsia="Times New Roman"/>
          <w:sz w:val="22"/>
          <w:lang w:val="en-US"/>
        </w:rPr>
      </w:pPr>
    </w:p>
    <w:p w14:paraId="23301152" w14:textId="77777777" w:rsidR="00E73BD8" w:rsidRPr="00105427" w:rsidRDefault="00E73BD8" w:rsidP="00E73BD8">
      <w:pPr>
        <w:widowControl w:val="0"/>
        <w:tabs>
          <w:tab w:val="left" w:pos="0"/>
          <w:tab w:val="left" w:pos="204"/>
        </w:tabs>
        <w:autoSpaceDE w:val="0"/>
        <w:autoSpaceDN w:val="0"/>
        <w:adjustRightInd w:val="0"/>
        <w:spacing w:after="0" w:line="240" w:lineRule="auto"/>
        <w:rPr>
          <w:rFonts w:eastAsia="Times New Roman"/>
          <w:sz w:val="22"/>
          <w:lang w:val="en-US"/>
        </w:rPr>
      </w:pPr>
      <w:r w:rsidRPr="00105427">
        <w:rPr>
          <w:rFonts w:eastAsia="Times New Roman"/>
          <w:sz w:val="22"/>
          <w:lang w:val="en-US"/>
        </w:rPr>
        <w:t>PMG553</w:t>
      </w:r>
    </w:p>
    <w:p w14:paraId="0615470B" w14:textId="77777777" w:rsidR="00E73BD8" w:rsidRPr="00105427" w:rsidRDefault="00E73BD8" w:rsidP="00E73BD8">
      <w:pPr>
        <w:widowControl w:val="0"/>
        <w:tabs>
          <w:tab w:val="left" w:pos="0"/>
          <w:tab w:val="left" w:pos="204"/>
        </w:tabs>
        <w:autoSpaceDE w:val="0"/>
        <w:autoSpaceDN w:val="0"/>
        <w:adjustRightInd w:val="0"/>
        <w:spacing w:after="0" w:line="240" w:lineRule="auto"/>
        <w:rPr>
          <w:rFonts w:eastAsia="Times New Roman"/>
          <w:sz w:val="22"/>
          <w:lang w:val="en-US"/>
        </w:rPr>
      </w:pPr>
      <w:r w:rsidRPr="00105427">
        <w:rPr>
          <w:rFonts w:eastAsia="Times New Roman"/>
          <w:sz w:val="22"/>
          <w:lang w:val="en-US"/>
        </w:rPr>
        <w:t>Jar rim; MB II</w:t>
      </w:r>
    </w:p>
    <w:p w14:paraId="795312B6" w14:textId="77777777" w:rsidR="00E73BD8" w:rsidRPr="00105427" w:rsidRDefault="00E73BD8" w:rsidP="00E73BD8">
      <w:pPr>
        <w:widowControl w:val="0"/>
        <w:tabs>
          <w:tab w:val="left" w:pos="0"/>
          <w:tab w:val="left" w:pos="204"/>
        </w:tabs>
        <w:autoSpaceDE w:val="0"/>
        <w:autoSpaceDN w:val="0"/>
        <w:adjustRightInd w:val="0"/>
        <w:spacing w:after="0" w:line="240" w:lineRule="auto"/>
        <w:rPr>
          <w:rFonts w:eastAsia="Times New Roman"/>
          <w:sz w:val="22"/>
          <w:lang w:val="en-US"/>
        </w:rPr>
      </w:pPr>
      <w:r w:rsidRPr="00105427">
        <w:rPr>
          <w:rFonts w:eastAsia="Times New Roman"/>
          <w:sz w:val="22"/>
          <w:lang w:val="en-US"/>
        </w:rPr>
        <w:t>2.76.L166.B21+.(2)</w:t>
      </w:r>
    </w:p>
    <w:p w14:paraId="0301C648" w14:textId="77777777" w:rsidR="00E73BD8" w:rsidRPr="00105427" w:rsidRDefault="00E73BD8" w:rsidP="00E73BD8">
      <w:pPr>
        <w:widowControl w:val="0"/>
        <w:tabs>
          <w:tab w:val="left" w:pos="0"/>
          <w:tab w:val="left" w:pos="204"/>
        </w:tabs>
        <w:autoSpaceDE w:val="0"/>
        <w:autoSpaceDN w:val="0"/>
        <w:adjustRightInd w:val="0"/>
        <w:spacing w:after="0" w:line="240" w:lineRule="auto"/>
        <w:rPr>
          <w:rFonts w:eastAsia="Times New Roman"/>
          <w:sz w:val="22"/>
          <w:lang w:val="en-US"/>
        </w:rPr>
      </w:pPr>
      <w:r w:rsidRPr="00105427">
        <w:rPr>
          <w:rFonts w:eastAsia="Times New Roman"/>
          <w:sz w:val="22"/>
          <w:lang w:val="en-US"/>
        </w:rPr>
        <w:t>Harvard Semitic Museum; Israel Antiquities Authority license no. A41/89</w:t>
      </w:r>
    </w:p>
    <w:p w14:paraId="76207CDD" w14:textId="77777777" w:rsidR="00E73BD8" w:rsidRPr="00105427" w:rsidRDefault="00E73BD8" w:rsidP="00E73BD8">
      <w:pPr>
        <w:widowControl w:val="0"/>
        <w:tabs>
          <w:tab w:val="left" w:pos="0"/>
          <w:tab w:val="left" w:pos="204"/>
        </w:tabs>
        <w:autoSpaceDE w:val="0"/>
        <w:autoSpaceDN w:val="0"/>
        <w:adjustRightInd w:val="0"/>
        <w:spacing w:after="0" w:line="240" w:lineRule="auto"/>
        <w:rPr>
          <w:rFonts w:eastAsia="Times New Roman"/>
          <w:sz w:val="22"/>
          <w:lang w:val="en-US"/>
        </w:rPr>
      </w:pPr>
      <w:r w:rsidRPr="00105427">
        <w:rPr>
          <w:rFonts w:eastAsia="Times New Roman"/>
          <w:sz w:val="22"/>
          <w:lang w:val="en-US"/>
        </w:rPr>
        <w:t>NAA Provenience: Probably Southern Palestine</w:t>
      </w:r>
    </w:p>
    <w:p w14:paraId="576319C8" w14:textId="77777777" w:rsidR="00E73BD8" w:rsidRPr="00105427" w:rsidRDefault="00E73BD8" w:rsidP="00E73BD8">
      <w:pPr>
        <w:widowControl w:val="0"/>
        <w:tabs>
          <w:tab w:val="left" w:pos="0"/>
          <w:tab w:val="left" w:pos="204"/>
        </w:tabs>
        <w:autoSpaceDE w:val="0"/>
        <w:autoSpaceDN w:val="0"/>
        <w:adjustRightInd w:val="0"/>
        <w:spacing w:after="0" w:line="240" w:lineRule="auto"/>
        <w:rPr>
          <w:rFonts w:eastAsia="Times New Roman"/>
          <w:sz w:val="22"/>
          <w:lang w:val="en-US"/>
        </w:rPr>
      </w:pPr>
    </w:p>
    <w:p w14:paraId="27D723F7" w14:textId="77777777" w:rsidR="003F7D74" w:rsidRDefault="003F7D74">
      <w:pPr>
        <w:spacing w:line="259" w:lineRule="auto"/>
        <w:rPr>
          <w:rFonts w:eastAsia="Times New Roman"/>
          <w:sz w:val="22"/>
          <w:lang w:val="en-US"/>
        </w:rPr>
      </w:pPr>
      <w:r>
        <w:rPr>
          <w:rFonts w:eastAsia="Times New Roman"/>
          <w:sz w:val="22"/>
          <w:lang w:val="en-US"/>
        </w:rPr>
        <w:br w:type="page"/>
      </w:r>
    </w:p>
    <w:p w14:paraId="0FE0E301" w14:textId="090F37AA" w:rsidR="00E73BD8" w:rsidRPr="00105427" w:rsidRDefault="00E73BD8" w:rsidP="00E73BD8">
      <w:pPr>
        <w:widowControl w:val="0"/>
        <w:tabs>
          <w:tab w:val="left" w:pos="0"/>
          <w:tab w:val="left" w:pos="204"/>
        </w:tabs>
        <w:autoSpaceDE w:val="0"/>
        <w:autoSpaceDN w:val="0"/>
        <w:adjustRightInd w:val="0"/>
        <w:spacing w:after="0" w:line="240" w:lineRule="auto"/>
        <w:rPr>
          <w:rFonts w:eastAsia="Times New Roman"/>
          <w:sz w:val="22"/>
          <w:lang w:val="en-US"/>
        </w:rPr>
      </w:pPr>
      <w:r w:rsidRPr="00105427">
        <w:rPr>
          <w:rFonts w:eastAsia="Times New Roman"/>
          <w:sz w:val="22"/>
          <w:lang w:val="en-US"/>
        </w:rPr>
        <w:lastRenderedPageBreak/>
        <w:t>PMG554</w:t>
      </w:r>
    </w:p>
    <w:p w14:paraId="41714C91" w14:textId="77777777" w:rsidR="00E73BD8" w:rsidRPr="00105427" w:rsidRDefault="00E73BD8" w:rsidP="00E73BD8">
      <w:pPr>
        <w:widowControl w:val="0"/>
        <w:tabs>
          <w:tab w:val="left" w:pos="0"/>
          <w:tab w:val="left" w:pos="204"/>
        </w:tabs>
        <w:autoSpaceDE w:val="0"/>
        <w:autoSpaceDN w:val="0"/>
        <w:adjustRightInd w:val="0"/>
        <w:spacing w:after="0" w:line="240" w:lineRule="auto"/>
        <w:rPr>
          <w:rFonts w:eastAsia="Times New Roman"/>
          <w:sz w:val="22"/>
          <w:lang w:val="en-US"/>
        </w:rPr>
      </w:pPr>
      <w:r w:rsidRPr="00105427">
        <w:rPr>
          <w:rFonts w:eastAsia="Times New Roman"/>
          <w:sz w:val="22"/>
          <w:lang w:val="en-US"/>
        </w:rPr>
        <w:t>White-slipped jar rim and neck (possibly Chocolate-on-White Ware); MB II</w:t>
      </w:r>
    </w:p>
    <w:p w14:paraId="32934126" w14:textId="77777777" w:rsidR="00E73BD8" w:rsidRPr="00105427" w:rsidRDefault="00E73BD8" w:rsidP="00E73BD8">
      <w:pPr>
        <w:widowControl w:val="0"/>
        <w:tabs>
          <w:tab w:val="left" w:pos="0"/>
          <w:tab w:val="left" w:pos="204"/>
        </w:tabs>
        <w:autoSpaceDE w:val="0"/>
        <w:autoSpaceDN w:val="0"/>
        <w:adjustRightInd w:val="0"/>
        <w:spacing w:after="0" w:line="240" w:lineRule="auto"/>
        <w:rPr>
          <w:rFonts w:eastAsia="Times New Roman"/>
          <w:sz w:val="22"/>
          <w:lang w:val="en-US"/>
        </w:rPr>
      </w:pPr>
      <w:r w:rsidRPr="00105427">
        <w:rPr>
          <w:rFonts w:eastAsia="Times New Roman"/>
          <w:sz w:val="22"/>
          <w:lang w:val="en-US"/>
        </w:rPr>
        <w:t>2.76.L166.B21+.(4)</w:t>
      </w:r>
    </w:p>
    <w:p w14:paraId="56372CEA" w14:textId="77777777" w:rsidR="00E73BD8" w:rsidRPr="00105427" w:rsidRDefault="00E73BD8" w:rsidP="00E73BD8">
      <w:pPr>
        <w:widowControl w:val="0"/>
        <w:tabs>
          <w:tab w:val="left" w:pos="0"/>
          <w:tab w:val="left" w:pos="204"/>
        </w:tabs>
        <w:autoSpaceDE w:val="0"/>
        <w:autoSpaceDN w:val="0"/>
        <w:adjustRightInd w:val="0"/>
        <w:spacing w:after="0" w:line="240" w:lineRule="auto"/>
        <w:rPr>
          <w:rFonts w:eastAsia="Times New Roman"/>
          <w:sz w:val="22"/>
          <w:lang w:val="en-US"/>
        </w:rPr>
      </w:pPr>
      <w:r w:rsidRPr="00105427">
        <w:rPr>
          <w:rFonts w:eastAsia="Times New Roman"/>
          <w:sz w:val="22"/>
          <w:lang w:val="en-US"/>
        </w:rPr>
        <w:t>Harvard Semitic Museum; Israel Antiquities Authority license no. A41/89</w:t>
      </w:r>
    </w:p>
    <w:p w14:paraId="1DC2EC3E" w14:textId="77777777" w:rsidR="00E73BD8" w:rsidRPr="00105427" w:rsidRDefault="00E73BD8" w:rsidP="00E73BD8">
      <w:pPr>
        <w:widowControl w:val="0"/>
        <w:tabs>
          <w:tab w:val="left" w:pos="0"/>
          <w:tab w:val="left" w:pos="204"/>
        </w:tabs>
        <w:autoSpaceDE w:val="0"/>
        <w:autoSpaceDN w:val="0"/>
        <w:adjustRightInd w:val="0"/>
        <w:spacing w:after="0" w:line="240" w:lineRule="auto"/>
        <w:rPr>
          <w:rFonts w:eastAsia="Times New Roman"/>
          <w:sz w:val="22"/>
          <w:lang w:val="en-US"/>
        </w:rPr>
      </w:pPr>
      <w:r w:rsidRPr="00105427">
        <w:rPr>
          <w:rFonts w:eastAsia="Times New Roman"/>
          <w:sz w:val="22"/>
          <w:lang w:val="en-US"/>
        </w:rPr>
        <w:t>NAA Provenience: Southern Palestine</w:t>
      </w:r>
    </w:p>
    <w:p w14:paraId="59EDDB31" w14:textId="77777777" w:rsidR="00E73BD8" w:rsidRPr="00105427" w:rsidRDefault="00E73BD8" w:rsidP="00E73BD8">
      <w:pPr>
        <w:widowControl w:val="0"/>
        <w:tabs>
          <w:tab w:val="left" w:pos="0"/>
          <w:tab w:val="left" w:pos="204"/>
        </w:tabs>
        <w:autoSpaceDE w:val="0"/>
        <w:autoSpaceDN w:val="0"/>
        <w:adjustRightInd w:val="0"/>
        <w:spacing w:after="0" w:line="240" w:lineRule="auto"/>
        <w:rPr>
          <w:rFonts w:eastAsia="Times New Roman"/>
          <w:sz w:val="22"/>
          <w:lang w:val="en-US"/>
        </w:rPr>
      </w:pPr>
    </w:p>
    <w:p w14:paraId="14FECA62" w14:textId="77777777" w:rsidR="00E73BD8" w:rsidRPr="00105427" w:rsidRDefault="00E73BD8" w:rsidP="00E73BD8">
      <w:pPr>
        <w:widowControl w:val="0"/>
        <w:tabs>
          <w:tab w:val="left" w:pos="0"/>
          <w:tab w:val="left" w:pos="204"/>
        </w:tabs>
        <w:autoSpaceDE w:val="0"/>
        <w:autoSpaceDN w:val="0"/>
        <w:adjustRightInd w:val="0"/>
        <w:spacing w:after="0" w:line="240" w:lineRule="auto"/>
        <w:rPr>
          <w:rFonts w:eastAsia="Times New Roman"/>
          <w:sz w:val="22"/>
          <w:lang w:val="en-US"/>
        </w:rPr>
      </w:pPr>
      <w:r w:rsidRPr="00105427">
        <w:rPr>
          <w:rFonts w:eastAsia="Times New Roman"/>
          <w:sz w:val="22"/>
          <w:lang w:val="en-US"/>
        </w:rPr>
        <w:t>PMG555</w:t>
      </w:r>
    </w:p>
    <w:p w14:paraId="0DA6D471" w14:textId="77777777" w:rsidR="00E73BD8" w:rsidRPr="00105427" w:rsidRDefault="00E73BD8" w:rsidP="00E73BD8">
      <w:pPr>
        <w:widowControl w:val="0"/>
        <w:tabs>
          <w:tab w:val="left" w:pos="0"/>
          <w:tab w:val="left" w:pos="204"/>
        </w:tabs>
        <w:autoSpaceDE w:val="0"/>
        <w:autoSpaceDN w:val="0"/>
        <w:adjustRightInd w:val="0"/>
        <w:spacing w:after="0" w:line="240" w:lineRule="auto"/>
        <w:rPr>
          <w:rFonts w:eastAsia="Times New Roman"/>
          <w:sz w:val="22"/>
          <w:lang w:val="en-US"/>
        </w:rPr>
      </w:pPr>
      <w:r w:rsidRPr="00105427">
        <w:rPr>
          <w:rFonts w:eastAsia="Times New Roman"/>
          <w:sz w:val="22"/>
          <w:lang w:val="en-US"/>
        </w:rPr>
        <w:t>Bichrome Painted jar body sherd; MB II</w:t>
      </w:r>
    </w:p>
    <w:p w14:paraId="5430A76D" w14:textId="77777777" w:rsidR="00E73BD8" w:rsidRPr="00105427" w:rsidRDefault="00E73BD8" w:rsidP="00E73BD8">
      <w:pPr>
        <w:widowControl w:val="0"/>
        <w:tabs>
          <w:tab w:val="left" w:pos="0"/>
          <w:tab w:val="left" w:pos="204"/>
        </w:tabs>
        <w:autoSpaceDE w:val="0"/>
        <w:autoSpaceDN w:val="0"/>
        <w:adjustRightInd w:val="0"/>
        <w:spacing w:after="0" w:line="240" w:lineRule="auto"/>
        <w:rPr>
          <w:rFonts w:eastAsia="Times New Roman"/>
          <w:sz w:val="22"/>
          <w:lang w:val="en-US"/>
        </w:rPr>
      </w:pPr>
      <w:r w:rsidRPr="00105427">
        <w:rPr>
          <w:rFonts w:eastAsia="Times New Roman"/>
          <w:sz w:val="22"/>
          <w:lang w:val="en-US"/>
        </w:rPr>
        <w:t>2.76.L166.B.21+.(5); MB II</w:t>
      </w:r>
    </w:p>
    <w:p w14:paraId="6993D929" w14:textId="77777777" w:rsidR="00E73BD8" w:rsidRPr="00105427" w:rsidRDefault="00E73BD8" w:rsidP="00E73BD8">
      <w:pPr>
        <w:widowControl w:val="0"/>
        <w:tabs>
          <w:tab w:val="left" w:pos="0"/>
          <w:tab w:val="left" w:pos="204"/>
        </w:tabs>
        <w:autoSpaceDE w:val="0"/>
        <w:autoSpaceDN w:val="0"/>
        <w:adjustRightInd w:val="0"/>
        <w:spacing w:after="0" w:line="240" w:lineRule="auto"/>
        <w:rPr>
          <w:rFonts w:eastAsia="Times New Roman"/>
          <w:sz w:val="22"/>
          <w:lang w:val="en-US"/>
        </w:rPr>
      </w:pPr>
      <w:r w:rsidRPr="00105427">
        <w:rPr>
          <w:rFonts w:eastAsia="Times New Roman"/>
          <w:sz w:val="22"/>
          <w:lang w:val="en-US"/>
        </w:rPr>
        <w:t>Harvard Semitic Museum; Israel Antiquities Authority license no. A41/89</w:t>
      </w:r>
    </w:p>
    <w:p w14:paraId="67FEEE8E" w14:textId="77777777" w:rsidR="00E73BD8" w:rsidRPr="00105427" w:rsidRDefault="00E73BD8" w:rsidP="00E73BD8">
      <w:pPr>
        <w:widowControl w:val="0"/>
        <w:tabs>
          <w:tab w:val="left" w:pos="0"/>
          <w:tab w:val="left" w:pos="204"/>
        </w:tabs>
        <w:autoSpaceDE w:val="0"/>
        <w:autoSpaceDN w:val="0"/>
        <w:adjustRightInd w:val="0"/>
        <w:spacing w:after="0" w:line="240" w:lineRule="auto"/>
        <w:rPr>
          <w:rFonts w:eastAsia="Times New Roman"/>
          <w:sz w:val="22"/>
          <w:lang w:val="en-US"/>
        </w:rPr>
      </w:pPr>
      <w:r w:rsidRPr="00105427">
        <w:rPr>
          <w:rFonts w:eastAsia="Times New Roman"/>
          <w:sz w:val="22"/>
          <w:lang w:val="en-US"/>
        </w:rPr>
        <w:t>NAA Provenience: Southern Palestine</w:t>
      </w:r>
    </w:p>
    <w:p w14:paraId="3A12B6AC" w14:textId="77777777" w:rsidR="00E73BD8" w:rsidRPr="00105427" w:rsidRDefault="00E73BD8" w:rsidP="00E73BD8">
      <w:pPr>
        <w:widowControl w:val="0"/>
        <w:tabs>
          <w:tab w:val="left" w:pos="0"/>
          <w:tab w:val="left" w:pos="204"/>
        </w:tabs>
        <w:autoSpaceDE w:val="0"/>
        <w:autoSpaceDN w:val="0"/>
        <w:adjustRightInd w:val="0"/>
        <w:spacing w:after="0" w:line="240" w:lineRule="auto"/>
        <w:rPr>
          <w:rFonts w:eastAsia="Times New Roman"/>
          <w:sz w:val="22"/>
          <w:lang w:val="en-US"/>
        </w:rPr>
      </w:pPr>
    </w:p>
    <w:p w14:paraId="7AF6AC56" w14:textId="77777777" w:rsidR="00E73BD8" w:rsidRPr="00105427" w:rsidRDefault="00E73BD8" w:rsidP="00E73BD8">
      <w:pPr>
        <w:widowControl w:val="0"/>
        <w:tabs>
          <w:tab w:val="left" w:pos="0"/>
          <w:tab w:val="left" w:pos="204"/>
        </w:tabs>
        <w:autoSpaceDE w:val="0"/>
        <w:autoSpaceDN w:val="0"/>
        <w:adjustRightInd w:val="0"/>
        <w:spacing w:after="0" w:line="240" w:lineRule="auto"/>
        <w:rPr>
          <w:rFonts w:eastAsia="Times New Roman"/>
          <w:sz w:val="22"/>
          <w:lang w:val="en-US"/>
        </w:rPr>
      </w:pPr>
      <w:r w:rsidRPr="00105427">
        <w:rPr>
          <w:rFonts w:eastAsia="Times New Roman"/>
          <w:sz w:val="22"/>
          <w:lang w:val="en-US"/>
        </w:rPr>
        <w:t>PMG556</w:t>
      </w:r>
    </w:p>
    <w:p w14:paraId="643E66DC" w14:textId="77777777" w:rsidR="00E73BD8" w:rsidRPr="00105427" w:rsidRDefault="00E73BD8" w:rsidP="00E73BD8">
      <w:pPr>
        <w:widowControl w:val="0"/>
        <w:tabs>
          <w:tab w:val="left" w:pos="0"/>
          <w:tab w:val="left" w:pos="204"/>
        </w:tabs>
        <w:autoSpaceDE w:val="0"/>
        <w:autoSpaceDN w:val="0"/>
        <w:adjustRightInd w:val="0"/>
        <w:spacing w:after="0" w:line="240" w:lineRule="auto"/>
        <w:rPr>
          <w:rFonts w:eastAsia="Times New Roman"/>
          <w:sz w:val="22"/>
          <w:lang w:val="en-US"/>
        </w:rPr>
      </w:pPr>
      <w:r w:rsidRPr="00105427">
        <w:rPr>
          <w:rFonts w:eastAsia="Times New Roman"/>
          <w:sz w:val="22"/>
          <w:lang w:val="en-US"/>
        </w:rPr>
        <w:t>Jar rim; MB II</w:t>
      </w:r>
    </w:p>
    <w:p w14:paraId="48FCFD6F" w14:textId="77777777" w:rsidR="00E73BD8" w:rsidRPr="00105427" w:rsidRDefault="00E73BD8" w:rsidP="00E73BD8">
      <w:pPr>
        <w:widowControl w:val="0"/>
        <w:tabs>
          <w:tab w:val="left" w:pos="0"/>
          <w:tab w:val="left" w:pos="204"/>
        </w:tabs>
        <w:autoSpaceDE w:val="0"/>
        <w:autoSpaceDN w:val="0"/>
        <w:adjustRightInd w:val="0"/>
        <w:spacing w:after="0" w:line="240" w:lineRule="auto"/>
        <w:rPr>
          <w:rFonts w:eastAsia="Times New Roman"/>
          <w:sz w:val="22"/>
          <w:lang w:val="en-US"/>
        </w:rPr>
      </w:pPr>
      <w:r w:rsidRPr="00105427">
        <w:rPr>
          <w:rFonts w:eastAsia="Times New Roman"/>
          <w:sz w:val="22"/>
          <w:lang w:val="en-US"/>
        </w:rPr>
        <w:t>2.76.L166.B21+.(6)</w:t>
      </w:r>
    </w:p>
    <w:p w14:paraId="2C935A4D" w14:textId="77777777" w:rsidR="00E73BD8" w:rsidRPr="00105427" w:rsidRDefault="00E73BD8" w:rsidP="00E73BD8">
      <w:pPr>
        <w:widowControl w:val="0"/>
        <w:tabs>
          <w:tab w:val="left" w:pos="0"/>
          <w:tab w:val="left" w:pos="204"/>
        </w:tabs>
        <w:autoSpaceDE w:val="0"/>
        <w:autoSpaceDN w:val="0"/>
        <w:adjustRightInd w:val="0"/>
        <w:spacing w:after="0" w:line="240" w:lineRule="auto"/>
        <w:rPr>
          <w:rFonts w:eastAsia="Times New Roman"/>
          <w:sz w:val="22"/>
          <w:lang w:val="en-US"/>
        </w:rPr>
      </w:pPr>
      <w:r w:rsidRPr="00105427">
        <w:rPr>
          <w:rFonts w:eastAsia="Times New Roman"/>
          <w:sz w:val="22"/>
          <w:lang w:val="en-US"/>
        </w:rPr>
        <w:t>Harvard Semitic Museum; Israel Antiquities Authority license no. A41/89</w:t>
      </w:r>
    </w:p>
    <w:p w14:paraId="2BFC00AF" w14:textId="77777777" w:rsidR="00E73BD8" w:rsidRPr="00105427" w:rsidRDefault="00E73BD8" w:rsidP="00E73BD8">
      <w:pPr>
        <w:widowControl w:val="0"/>
        <w:tabs>
          <w:tab w:val="left" w:pos="0"/>
          <w:tab w:val="left" w:pos="204"/>
        </w:tabs>
        <w:autoSpaceDE w:val="0"/>
        <w:autoSpaceDN w:val="0"/>
        <w:adjustRightInd w:val="0"/>
        <w:spacing w:after="0" w:line="240" w:lineRule="auto"/>
        <w:rPr>
          <w:rFonts w:eastAsia="Times New Roman"/>
          <w:sz w:val="22"/>
          <w:lang w:val="en-US"/>
        </w:rPr>
      </w:pPr>
      <w:r w:rsidRPr="00105427">
        <w:rPr>
          <w:rFonts w:eastAsia="Times New Roman"/>
          <w:sz w:val="22"/>
          <w:lang w:val="en-US"/>
        </w:rPr>
        <w:t>NAA Provenience: Probably Southern Palestine</w:t>
      </w:r>
    </w:p>
    <w:p w14:paraId="7DB302B3" w14:textId="77777777" w:rsidR="00E73BD8" w:rsidRPr="00105427" w:rsidRDefault="00E73BD8" w:rsidP="00E73BD8">
      <w:pPr>
        <w:widowControl w:val="0"/>
        <w:tabs>
          <w:tab w:val="left" w:pos="0"/>
          <w:tab w:val="left" w:pos="204"/>
        </w:tabs>
        <w:autoSpaceDE w:val="0"/>
        <w:autoSpaceDN w:val="0"/>
        <w:adjustRightInd w:val="0"/>
        <w:spacing w:after="0" w:line="240" w:lineRule="auto"/>
        <w:rPr>
          <w:rFonts w:eastAsia="Times New Roman"/>
          <w:sz w:val="22"/>
          <w:lang w:val="en-US"/>
        </w:rPr>
      </w:pPr>
    </w:p>
    <w:p w14:paraId="577B9805" w14:textId="038B7ED8" w:rsidR="00E73BD8" w:rsidRPr="00105427" w:rsidRDefault="00E73BD8" w:rsidP="00E73BD8">
      <w:pPr>
        <w:widowControl w:val="0"/>
        <w:tabs>
          <w:tab w:val="left" w:pos="0"/>
          <w:tab w:val="left" w:pos="204"/>
        </w:tabs>
        <w:autoSpaceDE w:val="0"/>
        <w:autoSpaceDN w:val="0"/>
        <w:adjustRightInd w:val="0"/>
        <w:spacing w:after="0" w:line="240" w:lineRule="auto"/>
        <w:rPr>
          <w:rFonts w:eastAsia="Times New Roman"/>
          <w:sz w:val="22"/>
          <w:lang w:val="en-US"/>
        </w:rPr>
      </w:pPr>
      <w:r w:rsidRPr="00105427">
        <w:rPr>
          <w:rFonts w:eastAsia="Times New Roman"/>
          <w:sz w:val="22"/>
          <w:lang w:val="en-US"/>
        </w:rPr>
        <w:t>PMG557</w:t>
      </w:r>
    </w:p>
    <w:p w14:paraId="3B83CF8F" w14:textId="77777777" w:rsidR="00E73BD8" w:rsidRPr="00105427" w:rsidRDefault="00E73BD8" w:rsidP="00E73BD8">
      <w:pPr>
        <w:widowControl w:val="0"/>
        <w:tabs>
          <w:tab w:val="left" w:pos="0"/>
          <w:tab w:val="left" w:pos="204"/>
        </w:tabs>
        <w:autoSpaceDE w:val="0"/>
        <w:autoSpaceDN w:val="0"/>
        <w:adjustRightInd w:val="0"/>
        <w:spacing w:after="0" w:line="240" w:lineRule="auto"/>
        <w:rPr>
          <w:rFonts w:eastAsia="Times New Roman"/>
          <w:sz w:val="22"/>
          <w:lang w:val="en-US"/>
        </w:rPr>
      </w:pPr>
      <w:r w:rsidRPr="00105427">
        <w:rPr>
          <w:rFonts w:eastAsia="Times New Roman"/>
          <w:sz w:val="22"/>
          <w:lang w:val="en-US"/>
        </w:rPr>
        <w:t>Amphora rim and neck; MB II</w:t>
      </w:r>
    </w:p>
    <w:p w14:paraId="4ABE6F53" w14:textId="77777777" w:rsidR="00E73BD8" w:rsidRPr="00105427" w:rsidRDefault="00E73BD8" w:rsidP="00E73BD8">
      <w:pPr>
        <w:widowControl w:val="0"/>
        <w:tabs>
          <w:tab w:val="left" w:pos="0"/>
          <w:tab w:val="left" w:pos="204"/>
        </w:tabs>
        <w:autoSpaceDE w:val="0"/>
        <w:autoSpaceDN w:val="0"/>
        <w:adjustRightInd w:val="0"/>
        <w:spacing w:after="0" w:line="240" w:lineRule="auto"/>
        <w:rPr>
          <w:rFonts w:eastAsia="Times New Roman"/>
          <w:sz w:val="22"/>
          <w:lang w:val="en-US"/>
        </w:rPr>
      </w:pPr>
      <w:r w:rsidRPr="00105427">
        <w:rPr>
          <w:rFonts w:eastAsia="Times New Roman"/>
          <w:sz w:val="22"/>
          <w:lang w:val="en-US"/>
        </w:rPr>
        <w:t>2.76.L166.B.21+.(7)</w:t>
      </w:r>
    </w:p>
    <w:p w14:paraId="06C19CD8" w14:textId="77777777" w:rsidR="00E73BD8" w:rsidRPr="00105427" w:rsidRDefault="00E73BD8" w:rsidP="00E73BD8">
      <w:pPr>
        <w:widowControl w:val="0"/>
        <w:tabs>
          <w:tab w:val="left" w:pos="0"/>
          <w:tab w:val="left" w:pos="204"/>
        </w:tabs>
        <w:autoSpaceDE w:val="0"/>
        <w:autoSpaceDN w:val="0"/>
        <w:adjustRightInd w:val="0"/>
        <w:spacing w:after="0" w:line="240" w:lineRule="auto"/>
        <w:rPr>
          <w:rFonts w:eastAsia="Times New Roman"/>
          <w:sz w:val="22"/>
          <w:lang w:val="en-US"/>
        </w:rPr>
      </w:pPr>
      <w:r w:rsidRPr="00105427">
        <w:rPr>
          <w:rFonts w:eastAsia="Times New Roman"/>
          <w:sz w:val="22"/>
          <w:lang w:val="en-US"/>
        </w:rPr>
        <w:t>Harvard Semitic Museum; Israel Antiquities Authority license no. A41/89</w:t>
      </w:r>
    </w:p>
    <w:p w14:paraId="4CAACE34" w14:textId="77777777" w:rsidR="00E73BD8" w:rsidRPr="00105427" w:rsidRDefault="00E73BD8" w:rsidP="00E73BD8">
      <w:pPr>
        <w:widowControl w:val="0"/>
        <w:tabs>
          <w:tab w:val="left" w:pos="0"/>
          <w:tab w:val="left" w:pos="204"/>
        </w:tabs>
        <w:autoSpaceDE w:val="0"/>
        <w:autoSpaceDN w:val="0"/>
        <w:adjustRightInd w:val="0"/>
        <w:spacing w:after="0" w:line="240" w:lineRule="auto"/>
        <w:rPr>
          <w:rFonts w:eastAsia="Times New Roman"/>
          <w:sz w:val="22"/>
          <w:lang w:val="en-US"/>
        </w:rPr>
      </w:pPr>
      <w:r w:rsidRPr="00105427">
        <w:rPr>
          <w:rFonts w:eastAsia="Times New Roman"/>
          <w:sz w:val="22"/>
          <w:lang w:val="en-US"/>
        </w:rPr>
        <w:t>NAA Provenience: Southern Palestine</w:t>
      </w:r>
    </w:p>
    <w:p w14:paraId="4FB58286" w14:textId="77777777" w:rsidR="00E73BD8" w:rsidRPr="00105427" w:rsidRDefault="00E73BD8" w:rsidP="00E73BD8">
      <w:pPr>
        <w:widowControl w:val="0"/>
        <w:tabs>
          <w:tab w:val="left" w:pos="0"/>
          <w:tab w:val="left" w:pos="204"/>
        </w:tabs>
        <w:autoSpaceDE w:val="0"/>
        <w:autoSpaceDN w:val="0"/>
        <w:adjustRightInd w:val="0"/>
        <w:spacing w:after="0" w:line="240" w:lineRule="auto"/>
        <w:rPr>
          <w:rFonts w:eastAsia="Times New Roman"/>
          <w:sz w:val="22"/>
          <w:lang w:val="en-US"/>
        </w:rPr>
      </w:pPr>
    </w:p>
    <w:p w14:paraId="015D1C29" w14:textId="77777777" w:rsidR="00E73BD8" w:rsidRPr="00105427" w:rsidRDefault="00E73BD8" w:rsidP="00E73BD8">
      <w:pPr>
        <w:widowControl w:val="0"/>
        <w:tabs>
          <w:tab w:val="left" w:pos="0"/>
          <w:tab w:val="left" w:pos="204"/>
        </w:tabs>
        <w:autoSpaceDE w:val="0"/>
        <w:autoSpaceDN w:val="0"/>
        <w:adjustRightInd w:val="0"/>
        <w:spacing w:after="0" w:line="240" w:lineRule="auto"/>
        <w:rPr>
          <w:rFonts w:eastAsia="Times New Roman"/>
          <w:sz w:val="22"/>
          <w:lang w:val="en-US"/>
        </w:rPr>
      </w:pPr>
      <w:r w:rsidRPr="00105427">
        <w:rPr>
          <w:rFonts w:eastAsia="Times New Roman"/>
          <w:sz w:val="22"/>
          <w:lang w:val="en-US"/>
        </w:rPr>
        <w:t>PMG558</w:t>
      </w:r>
    </w:p>
    <w:p w14:paraId="6C0DFD53" w14:textId="77777777" w:rsidR="00E73BD8" w:rsidRPr="00105427" w:rsidRDefault="00E73BD8" w:rsidP="00E73BD8">
      <w:pPr>
        <w:widowControl w:val="0"/>
        <w:tabs>
          <w:tab w:val="left" w:pos="0"/>
          <w:tab w:val="left" w:pos="204"/>
        </w:tabs>
        <w:autoSpaceDE w:val="0"/>
        <w:autoSpaceDN w:val="0"/>
        <w:adjustRightInd w:val="0"/>
        <w:spacing w:after="0" w:line="240" w:lineRule="auto"/>
        <w:rPr>
          <w:rFonts w:eastAsia="Times New Roman"/>
          <w:sz w:val="22"/>
          <w:lang w:val="en-US"/>
        </w:rPr>
      </w:pPr>
      <w:r w:rsidRPr="00105427">
        <w:rPr>
          <w:rFonts w:eastAsia="Times New Roman"/>
          <w:sz w:val="22"/>
          <w:lang w:val="en-US"/>
        </w:rPr>
        <w:t>Jar rim; MB II</w:t>
      </w:r>
    </w:p>
    <w:p w14:paraId="6FBC4E57" w14:textId="77777777" w:rsidR="00E73BD8" w:rsidRPr="00105427" w:rsidRDefault="00E73BD8" w:rsidP="00E73BD8">
      <w:pPr>
        <w:widowControl w:val="0"/>
        <w:tabs>
          <w:tab w:val="left" w:pos="0"/>
          <w:tab w:val="left" w:pos="204"/>
        </w:tabs>
        <w:autoSpaceDE w:val="0"/>
        <w:autoSpaceDN w:val="0"/>
        <w:adjustRightInd w:val="0"/>
        <w:spacing w:after="0" w:line="240" w:lineRule="auto"/>
        <w:rPr>
          <w:rFonts w:eastAsia="Times New Roman"/>
          <w:sz w:val="22"/>
          <w:lang w:val="en-US"/>
        </w:rPr>
      </w:pPr>
      <w:r w:rsidRPr="00105427">
        <w:rPr>
          <w:rFonts w:eastAsia="Times New Roman"/>
          <w:sz w:val="22"/>
          <w:lang w:val="en-US"/>
        </w:rPr>
        <w:t>2.76.L166.B.21+.(8)</w:t>
      </w:r>
    </w:p>
    <w:p w14:paraId="26164848" w14:textId="77777777" w:rsidR="00E73BD8" w:rsidRPr="00105427" w:rsidRDefault="00E73BD8" w:rsidP="00E73BD8">
      <w:pPr>
        <w:widowControl w:val="0"/>
        <w:tabs>
          <w:tab w:val="left" w:pos="0"/>
          <w:tab w:val="left" w:pos="204"/>
        </w:tabs>
        <w:autoSpaceDE w:val="0"/>
        <w:autoSpaceDN w:val="0"/>
        <w:adjustRightInd w:val="0"/>
        <w:spacing w:after="0" w:line="240" w:lineRule="auto"/>
        <w:rPr>
          <w:rFonts w:eastAsia="Times New Roman"/>
          <w:sz w:val="22"/>
          <w:lang w:val="en-US"/>
        </w:rPr>
      </w:pPr>
      <w:r w:rsidRPr="00105427">
        <w:rPr>
          <w:rFonts w:eastAsia="Times New Roman"/>
          <w:sz w:val="22"/>
          <w:lang w:val="en-US"/>
        </w:rPr>
        <w:t>Harvard Semitic Museum; Israel Antiquities Authority license no. A41/89</w:t>
      </w:r>
    </w:p>
    <w:p w14:paraId="3FDFC28E" w14:textId="77777777" w:rsidR="00E73BD8" w:rsidRPr="00105427" w:rsidRDefault="00E73BD8" w:rsidP="00E73BD8">
      <w:pPr>
        <w:widowControl w:val="0"/>
        <w:tabs>
          <w:tab w:val="left" w:pos="0"/>
          <w:tab w:val="left" w:pos="204"/>
        </w:tabs>
        <w:autoSpaceDE w:val="0"/>
        <w:autoSpaceDN w:val="0"/>
        <w:adjustRightInd w:val="0"/>
        <w:spacing w:after="0" w:line="240" w:lineRule="auto"/>
        <w:rPr>
          <w:rFonts w:eastAsia="Times New Roman"/>
          <w:sz w:val="22"/>
          <w:lang w:val="en-US"/>
        </w:rPr>
      </w:pPr>
      <w:r w:rsidRPr="00105427">
        <w:rPr>
          <w:rFonts w:eastAsia="Times New Roman"/>
          <w:sz w:val="22"/>
          <w:lang w:val="en-US"/>
        </w:rPr>
        <w:t>NAA Provenience: Southern Palestine</w:t>
      </w:r>
    </w:p>
    <w:p w14:paraId="0637979C" w14:textId="77777777" w:rsidR="00E73BD8" w:rsidRPr="00105427" w:rsidRDefault="00E73BD8" w:rsidP="00E73BD8">
      <w:pPr>
        <w:widowControl w:val="0"/>
        <w:tabs>
          <w:tab w:val="left" w:pos="0"/>
          <w:tab w:val="left" w:pos="204"/>
        </w:tabs>
        <w:autoSpaceDE w:val="0"/>
        <w:autoSpaceDN w:val="0"/>
        <w:adjustRightInd w:val="0"/>
        <w:spacing w:after="0" w:line="240" w:lineRule="auto"/>
        <w:rPr>
          <w:rFonts w:eastAsia="Times New Roman"/>
          <w:sz w:val="22"/>
          <w:lang w:val="en-US"/>
        </w:rPr>
      </w:pPr>
    </w:p>
    <w:p w14:paraId="1DBFDCDE" w14:textId="77777777" w:rsidR="00E73BD8" w:rsidRPr="00105427" w:rsidRDefault="00E73BD8" w:rsidP="00E73BD8">
      <w:pPr>
        <w:widowControl w:val="0"/>
        <w:tabs>
          <w:tab w:val="left" w:pos="0"/>
          <w:tab w:val="left" w:pos="204"/>
        </w:tabs>
        <w:autoSpaceDE w:val="0"/>
        <w:autoSpaceDN w:val="0"/>
        <w:adjustRightInd w:val="0"/>
        <w:spacing w:after="0" w:line="240" w:lineRule="auto"/>
        <w:rPr>
          <w:rFonts w:eastAsia="Times New Roman"/>
          <w:sz w:val="22"/>
          <w:lang w:val="en-US"/>
        </w:rPr>
      </w:pPr>
      <w:r w:rsidRPr="00105427">
        <w:rPr>
          <w:rFonts w:eastAsia="Times New Roman"/>
          <w:sz w:val="22"/>
          <w:lang w:val="en-US"/>
        </w:rPr>
        <w:t>PMG559</w:t>
      </w:r>
    </w:p>
    <w:p w14:paraId="6488F608" w14:textId="77777777" w:rsidR="00E73BD8" w:rsidRPr="00105427" w:rsidRDefault="00E73BD8" w:rsidP="00E73BD8">
      <w:pPr>
        <w:widowControl w:val="0"/>
        <w:tabs>
          <w:tab w:val="left" w:pos="0"/>
          <w:tab w:val="left" w:pos="204"/>
        </w:tabs>
        <w:autoSpaceDE w:val="0"/>
        <w:autoSpaceDN w:val="0"/>
        <w:adjustRightInd w:val="0"/>
        <w:spacing w:after="0" w:line="240" w:lineRule="auto"/>
        <w:rPr>
          <w:rFonts w:eastAsia="Times New Roman"/>
          <w:sz w:val="22"/>
          <w:lang w:val="en-US"/>
        </w:rPr>
      </w:pPr>
      <w:r w:rsidRPr="00105427">
        <w:rPr>
          <w:rFonts w:eastAsia="Times New Roman"/>
          <w:sz w:val="22"/>
          <w:lang w:val="en-US"/>
        </w:rPr>
        <w:t>White-slipped and painted jar body sherd (possibly Chocolate-on-White Ware); MB II</w:t>
      </w:r>
    </w:p>
    <w:p w14:paraId="75537263" w14:textId="77777777" w:rsidR="00E73BD8" w:rsidRPr="00105427" w:rsidRDefault="00E73BD8" w:rsidP="00E73BD8">
      <w:pPr>
        <w:widowControl w:val="0"/>
        <w:tabs>
          <w:tab w:val="left" w:pos="0"/>
          <w:tab w:val="left" w:pos="204"/>
        </w:tabs>
        <w:autoSpaceDE w:val="0"/>
        <w:autoSpaceDN w:val="0"/>
        <w:adjustRightInd w:val="0"/>
        <w:spacing w:after="0" w:line="240" w:lineRule="auto"/>
        <w:rPr>
          <w:rFonts w:eastAsia="Times New Roman"/>
          <w:sz w:val="22"/>
          <w:lang w:val="en-US"/>
        </w:rPr>
      </w:pPr>
      <w:r w:rsidRPr="00105427">
        <w:rPr>
          <w:rFonts w:eastAsia="Times New Roman"/>
          <w:sz w:val="22"/>
          <w:lang w:val="en-US"/>
        </w:rPr>
        <w:t>2.76.L166.B.21+.(11)</w:t>
      </w:r>
    </w:p>
    <w:p w14:paraId="1D5825DF" w14:textId="77777777" w:rsidR="00E73BD8" w:rsidRPr="00105427" w:rsidRDefault="00E73BD8" w:rsidP="00E73BD8">
      <w:pPr>
        <w:widowControl w:val="0"/>
        <w:tabs>
          <w:tab w:val="left" w:pos="0"/>
          <w:tab w:val="left" w:pos="204"/>
        </w:tabs>
        <w:autoSpaceDE w:val="0"/>
        <w:autoSpaceDN w:val="0"/>
        <w:adjustRightInd w:val="0"/>
        <w:spacing w:after="0" w:line="240" w:lineRule="auto"/>
        <w:rPr>
          <w:rFonts w:eastAsia="Times New Roman"/>
          <w:sz w:val="22"/>
          <w:lang w:val="en-US"/>
        </w:rPr>
      </w:pPr>
      <w:r w:rsidRPr="00105427">
        <w:rPr>
          <w:rFonts w:eastAsia="Times New Roman"/>
          <w:sz w:val="22"/>
          <w:lang w:val="en-US"/>
        </w:rPr>
        <w:t>Harvard Semitic Museum; Israel Antiquities Authority license no. A41/89</w:t>
      </w:r>
    </w:p>
    <w:p w14:paraId="59B190AF" w14:textId="77777777" w:rsidR="00E73BD8" w:rsidRPr="00105427" w:rsidRDefault="00E73BD8" w:rsidP="00E73BD8">
      <w:pPr>
        <w:widowControl w:val="0"/>
        <w:tabs>
          <w:tab w:val="left" w:pos="0"/>
          <w:tab w:val="left" w:pos="204"/>
        </w:tabs>
        <w:autoSpaceDE w:val="0"/>
        <w:autoSpaceDN w:val="0"/>
        <w:adjustRightInd w:val="0"/>
        <w:spacing w:after="0" w:line="240" w:lineRule="auto"/>
        <w:rPr>
          <w:rFonts w:eastAsia="Times New Roman"/>
          <w:sz w:val="22"/>
          <w:lang w:val="en-US"/>
        </w:rPr>
      </w:pPr>
      <w:r w:rsidRPr="00105427">
        <w:rPr>
          <w:rFonts w:eastAsia="Times New Roman"/>
          <w:sz w:val="22"/>
          <w:lang w:val="en-US"/>
        </w:rPr>
        <w:t>NAA Provenience: Southern Palestine</w:t>
      </w:r>
    </w:p>
    <w:p w14:paraId="0C087E04" w14:textId="77777777" w:rsidR="00E73BD8" w:rsidRPr="00105427" w:rsidRDefault="00E73BD8" w:rsidP="00E73BD8">
      <w:pPr>
        <w:widowControl w:val="0"/>
        <w:tabs>
          <w:tab w:val="left" w:pos="0"/>
          <w:tab w:val="left" w:pos="204"/>
        </w:tabs>
        <w:autoSpaceDE w:val="0"/>
        <w:autoSpaceDN w:val="0"/>
        <w:adjustRightInd w:val="0"/>
        <w:spacing w:after="0" w:line="240" w:lineRule="auto"/>
        <w:rPr>
          <w:rFonts w:eastAsia="Times New Roman"/>
          <w:sz w:val="22"/>
          <w:lang w:val="en-US"/>
        </w:rPr>
      </w:pPr>
    </w:p>
    <w:p w14:paraId="72460936" w14:textId="77777777" w:rsidR="003F7D74" w:rsidRDefault="003F7D74">
      <w:pPr>
        <w:spacing w:line="259" w:lineRule="auto"/>
        <w:rPr>
          <w:rFonts w:eastAsia="Times New Roman"/>
          <w:sz w:val="22"/>
          <w:lang w:val="en-US"/>
        </w:rPr>
      </w:pPr>
      <w:r>
        <w:rPr>
          <w:rFonts w:eastAsia="Times New Roman"/>
          <w:sz w:val="22"/>
          <w:lang w:val="en-US"/>
        </w:rPr>
        <w:br w:type="page"/>
      </w:r>
    </w:p>
    <w:p w14:paraId="3CD71D45" w14:textId="198DDC38" w:rsidR="00E73BD8" w:rsidRPr="00105427" w:rsidRDefault="00E73BD8" w:rsidP="00E73BD8">
      <w:pPr>
        <w:widowControl w:val="0"/>
        <w:tabs>
          <w:tab w:val="left" w:pos="0"/>
          <w:tab w:val="left" w:pos="204"/>
        </w:tabs>
        <w:autoSpaceDE w:val="0"/>
        <w:autoSpaceDN w:val="0"/>
        <w:adjustRightInd w:val="0"/>
        <w:spacing w:after="0" w:line="240" w:lineRule="auto"/>
        <w:rPr>
          <w:rFonts w:eastAsia="Times New Roman"/>
          <w:sz w:val="22"/>
          <w:lang w:val="en-US"/>
        </w:rPr>
      </w:pPr>
      <w:r w:rsidRPr="00105427">
        <w:rPr>
          <w:rFonts w:eastAsia="Times New Roman"/>
          <w:sz w:val="22"/>
          <w:lang w:val="en-US"/>
        </w:rPr>
        <w:lastRenderedPageBreak/>
        <w:t>PMG560</w:t>
      </w:r>
    </w:p>
    <w:p w14:paraId="238AB44A" w14:textId="77777777" w:rsidR="00E73BD8" w:rsidRPr="00105427" w:rsidRDefault="00E73BD8" w:rsidP="00E73BD8">
      <w:pPr>
        <w:widowControl w:val="0"/>
        <w:tabs>
          <w:tab w:val="left" w:pos="0"/>
          <w:tab w:val="left" w:pos="204"/>
        </w:tabs>
        <w:autoSpaceDE w:val="0"/>
        <w:autoSpaceDN w:val="0"/>
        <w:adjustRightInd w:val="0"/>
        <w:spacing w:after="0" w:line="240" w:lineRule="auto"/>
        <w:rPr>
          <w:rFonts w:eastAsia="Times New Roman"/>
          <w:sz w:val="22"/>
          <w:lang w:val="en-US"/>
        </w:rPr>
      </w:pPr>
      <w:r w:rsidRPr="00105427">
        <w:rPr>
          <w:rFonts w:eastAsia="Times New Roman"/>
          <w:sz w:val="22"/>
          <w:lang w:val="en-US"/>
        </w:rPr>
        <w:t>Bichrome-painted bowl</w:t>
      </w:r>
    </w:p>
    <w:p w14:paraId="1B3334A8" w14:textId="77777777" w:rsidR="00E73BD8" w:rsidRPr="00105427" w:rsidRDefault="00E73BD8" w:rsidP="00E73BD8">
      <w:pPr>
        <w:widowControl w:val="0"/>
        <w:tabs>
          <w:tab w:val="left" w:pos="0"/>
          <w:tab w:val="left" w:pos="204"/>
        </w:tabs>
        <w:autoSpaceDE w:val="0"/>
        <w:autoSpaceDN w:val="0"/>
        <w:adjustRightInd w:val="0"/>
        <w:spacing w:after="0" w:line="240" w:lineRule="auto"/>
        <w:rPr>
          <w:rFonts w:eastAsia="Times New Roman"/>
          <w:sz w:val="22"/>
          <w:lang w:val="en-US"/>
        </w:rPr>
      </w:pPr>
      <w:r w:rsidRPr="00105427">
        <w:rPr>
          <w:rFonts w:eastAsia="Times New Roman"/>
          <w:sz w:val="22"/>
          <w:lang w:val="en-US"/>
        </w:rPr>
        <w:t>2.76.L166. B21+.(12) ; MB II</w:t>
      </w:r>
    </w:p>
    <w:p w14:paraId="1677C63C" w14:textId="77777777" w:rsidR="00E73BD8" w:rsidRPr="00105427" w:rsidRDefault="00E73BD8" w:rsidP="00E73BD8">
      <w:pPr>
        <w:widowControl w:val="0"/>
        <w:tabs>
          <w:tab w:val="left" w:pos="0"/>
          <w:tab w:val="left" w:pos="204"/>
        </w:tabs>
        <w:autoSpaceDE w:val="0"/>
        <w:autoSpaceDN w:val="0"/>
        <w:adjustRightInd w:val="0"/>
        <w:spacing w:after="0" w:line="240" w:lineRule="auto"/>
        <w:rPr>
          <w:rFonts w:eastAsia="Times New Roman"/>
          <w:sz w:val="22"/>
          <w:lang w:val="en-US"/>
        </w:rPr>
      </w:pPr>
      <w:r w:rsidRPr="00105427">
        <w:rPr>
          <w:rFonts w:eastAsia="Times New Roman"/>
          <w:sz w:val="22"/>
          <w:lang w:val="en-US"/>
        </w:rPr>
        <w:t>Harvard Semitic Museum; Israel Antiquities Authority license no. A41/89</w:t>
      </w:r>
    </w:p>
    <w:p w14:paraId="0BFC9DED" w14:textId="77777777" w:rsidR="00E73BD8" w:rsidRPr="00105427" w:rsidRDefault="00E73BD8" w:rsidP="00E73BD8">
      <w:pPr>
        <w:widowControl w:val="0"/>
        <w:tabs>
          <w:tab w:val="left" w:pos="0"/>
          <w:tab w:val="left" w:pos="204"/>
        </w:tabs>
        <w:autoSpaceDE w:val="0"/>
        <w:autoSpaceDN w:val="0"/>
        <w:adjustRightInd w:val="0"/>
        <w:spacing w:after="0" w:line="240" w:lineRule="auto"/>
        <w:rPr>
          <w:rFonts w:eastAsia="Times New Roman"/>
          <w:sz w:val="22"/>
          <w:lang w:val="en-US"/>
        </w:rPr>
      </w:pPr>
      <w:r w:rsidRPr="00105427">
        <w:rPr>
          <w:rFonts w:eastAsia="Times New Roman"/>
          <w:sz w:val="22"/>
          <w:lang w:val="en-US"/>
        </w:rPr>
        <w:t>NAA Provenience: Southern Palestine</w:t>
      </w:r>
    </w:p>
    <w:p w14:paraId="7543546D" w14:textId="77777777" w:rsidR="00E73BD8" w:rsidRPr="00105427" w:rsidRDefault="00E73BD8" w:rsidP="00E73BD8">
      <w:pPr>
        <w:widowControl w:val="0"/>
        <w:tabs>
          <w:tab w:val="left" w:pos="0"/>
          <w:tab w:val="left" w:pos="204"/>
        </w:tabs>
        <w:autoSpaceDE w:val="0"/>
        <w:autoSpaceDN w:val="0"/>
        <w:adjustRightInd w:val="0"/>
        <w:spacing w:after="0" w:line="240" w:lineRule="auto"/>
        <w:rPr>
          <w:rFonts w:eastAsia="Times New Roman"/>
          <w:sz w:val="22"/>
          <w:lang w:val="en-US"/>
        </w:rPr>
      </w:pPr>
    </w:p>
    <w:p w14:paraId="330AD6CE" w14:textId="77777777" w:rsidR="00E73BD8" w:rsidRPr="00105427" w:rsidRDefault="00E73BD8" w:rsidP="00E73BD8">
      <w:pPr>
        <w:widowControl w:val="0"/>
        <w:tabs>
          <w:tab w:val="left" w:pos="0"/>
          <w:tab w:val="left" w:pos="204"/>
        </w:tabs>
        <w:autoSpaceDE w:val="0"/>
        <w:autoSpaceDN w:val="0"/>
        <w:adjustRightInd w:val="0"/>
        <w:spacing w:after="0" w:line="240" w:lineRule="auto"/>
        <w:rPr>
          <w:rFonts w:eastAsia="Times New Roman"/>
          <w:sz w:val="22"/>
          <w:lang w:val="en-US"/>
        </w:rPr>
      </w:pPr>
      <w:r w:rsidRPr="00105427">
        <w:rPr>
          <w:rFonts w:eastAsia="Times New Roman"/>
          <w:sz w:val="22"/>
          <w:lang w:val="en-US"/>
        </w:rPr>
        <w:t>PMG561</w:t>
      </w:r>
    </w:p>
    <w:p w14:paraId="41DF6465" w14:textId="77777777" w:rsidR="00E73BD8" w:rsidRPr="00105427" w:rsidRDefault="00E73BD8" w:rsidP="00E73BD8">
      <w:pPr>
        <w:widowControl w:val="0"/>
        <w:tabs>
          <w:tab w:val="left" w:pos="0"/>
          <w:tab w:val="left" w:pos="204"/>
        </w:tabs>
        <w:autoSpaceDE w:val="0"/>
        <w:autoSpaceDN w:val="0"/>
        <w:adjustRightInd w:val="0"/>
        <w:spacing w:after="0" w:line="240" w:lineRule="auto"/>
        <w:rPr>
          <w:rFonts w:eastAsia="Times New Roman"/>
          <w:sz w:val="22"/>
          <w:lang w:val="en-US"/>
        </w:rPr>
      </w:pPr>
      <w:r w:rsidRPr="00105427">
        <w:rPr>
          <w:rFonts w:eastAsia="Times New Roman"/>
          <w:sz w:val="22"/>
          <w:lang w:val="en-US"/>
        </w:rPr>
        <w:t>Amphora rim and neck</w:t>
      </w:r>
    </w:p>
    <w:p w14:paraId="321B3C14" w14:textId="77777777" w:rsidR="00E73BD8" w:rsidRPr="00105427" w:rsidRDefault="00E73BD8" w:rsidP="00E73BD8">
      <w:pPr>
        <w:widowControl w:val="0"/>
        <w:tabs>
          <w:tab w:val="left" w:pos="0"/>
          <w:tab w:val="left" w:pos="204"/>
        </w:tabs>
        <w:autoSpaceDE w:val="0"/>
        <w:autoSpaceDN w:val="0"/>
        <w:adjustRightInd w:val="0"/>
        <w:spacing w:after="0" w:line="240" w:lineRule="auto"/>
        <w:rPr>
          <w:rFonts w:eastAsia="Times New Roman"/>
          <w:sz w:val="22"/>
          <w:lang w:val="en-US"/>
        </w:rPr>
      </w:pPr>
      <w:r w:rsidRPr="00105427">
        <w:rPr>
          <w:rFonts w:eastAsia="Times New Roman"/>
          <w:sz w:val="22"/>
          <w:lang w:val="en-US"/>
        </w:rPr>
        <w:t>2.76.L166.B21+.(37) ; MB II</w:t>
      </w:r>
    </w:p>
    <w:p w14:paraId="59DC8662" w14:textId="77777777" w:rsidR="00E73BD8" w:rsidRPr="00105427" w:rsidRDefault="00E73BD8" w:rsidP="00E73BD8">
      <w:pPr>
        <w:widowControl w:val="0"/>
        <w:tabs>
          <w:tab w:val="left" w:pos="0"/>
          <w:tab w:val="left" w:pos="204"/>
        </w:tabs>
        <w:autoSpaceDE w:val="0"/>
        <w:autoSpaceDN w:val="0"/>
        <w:adjustRightInd w:val="0"/>
        <w:spacing w:after="0" w:line="240" w:lineRule="auto"/>
        <w:rPr>
          <w:rFonts w:eastAsia="Times New Roman"/>
          <w:sz w:val="22"/>
          <w:lang w:val="en-US"/>
        </w:rPr>
      </w:pPr>
      <w:r w:rsidRPr="00105427">
        <w:rPr>
          <w:rFonts w:eastAsia="Times New Roman"/>
          <w:sz w:val="22"/>
          <w:lang w:val="en-US"/>
        </w:rPr>
        <w:t>Harvard Semitic Museum; Israel Antiquities Authority license no. A41/89</w:t>
      </w:r>
    </w:p>
    <w:p w14:paraId="7C1C4380" w14:textId="77777777" w:rsidR="00E73BD8" w:rsidRPr="00105427" w:rsidRDefault="00E73BD8" w:rsidP="00E73BD8">
      <w:pPr>
        <w:widowControl w:val="0"/>
        <w:tabs>
          <w:tab w:val="left" w:pos="0"/>
          <w:tab w:val="left" w:pos="204"/>
        </w:tabs>
        <w:autoSpaceDE w:val="0"/>
        <w:autoSpaceDN w:val="0"/>
        <w:adjustRightInd w:val="0"/>
        <w:spacing w:after="0" w:line="240" w:lineRule="auto"/>
        <w:rPr>
          <w:rFonts w:eastAsia="Times New Roman"/>
          <w:sz w:val="22"/>
          <w:lang w:val="en-US"/>
        </w:rPr>
      </w:pPr>
      <w:r w:rsidRPr="00105427">
        <w:rPr>
          <w:rFonts w:eastAsia="Times New Roman"/>
          <w:sz w:val="22"/>
          <w:lang w:val="en-US"/>
        </w:rPr>
        <w:t>NAA Provenience: Southern Palestine</w:t>
      </w:r>
    </w:p>
    <w:p w14:paraId="635686E6" w14:textId="77777777" w:rsidR="00E73BD8" w:rsidRPr="00105427" w:rsidRDefault="00E73BD8" w:rsidP="00E73BD8">
      <w:pPr>
        <w:widowControl w:val="0"/>
        <w:tabs>
          <w:tab w:val="left" w:pos="0"/>
          <w:tab w:val="left" w:pos="204"/>
        </w:tabs>
        <w:autoSpaceDE w:val="0"/>
        <w:autoSpaceDN w:val="0"/>
        <w:adjustRightInd w:val="0"/>
        <w:spacing w:after="0" w:line="240" w:lineRule="auto"/>
        <w:rPr>
          <w:rFonts w:eastAsia="Times New Roman"/>
          <w:sz w:val="22"/>
          <w:lang w:val="en-US"/>
        </w:rPr>
      </w:pPr>
    </w:p>
    <w:p w14:paraId="09821A12" w14:textId="77777777" w:rsidR="00E73BD8" w:rsidRPr="00105427" w:rsidRDefault="00E73BD8" w:rsidP="00E73BD8">
      <w:pPr>
        <w:widowControl w:val="0"/>
        <w:tabs>
          <w:tab w:val="left" w:pos="0"/>
          <w:tab w:val="left" w:pos="204"/>
        </w:tabs>
        <w:autoSpaceDE w:val="0"/>
        <w:autoSpaceDN w:val="0"/>
        <w:adjustRightInd w:val="0"/>
        <w:spacing w:after="0" w:line="240" w:lineRule="auto"/>
        <w:rPr>
          <w:rFonts w:eastAsia="Times New Roman"/>
          <w:sz w:val="22"/>
          <w:lang w:val="en-US"/>
        </w:rPr>
      </w:pPr>
      <w:r w:rsidRPr="00105427">
        <w:rPr>
          <w:rFonts w:eastAsia="Times New Roman"/>
          <w:sz w:val="22"/>
          <w:lang w:val="en-US"/>
        </w:rPr>
        <w:t>PMG562</w:t>
      </w:r>
    </w:p>
    <w:p w14:paraId="5F2EE952" w14:textId="77777777" w:rsidR="00E73BD8" w:rsidRPr="00105427" w:rsidRDefault="00E73BD8" w:rsidP="00E73BD8">
      <w:pPr>
        <w:widowControl w:val="0"/>
        <w:tabs>
          <w:tab w:val="left" w:pos="0"/>
          <w:tab w:val="left" w:pos="204"/>
        </w:tabs>
        <w:autoSpaceDE w:val="0"/>
        <w:autoSpaceDN w:val="0"/>
        <w:adjustRightInd w:val="0"/>
        <w:spacing w:after="0" w:line="240" w:lineRule="auto"/>
        <w:rPr>
          <w:rFonts w:eastAsia="Times New Roman"/>
          <w:sz w:val="22"/>
          <w:lang w:val="en-US"/>
        </w:rPr>
      </w:pPr>
      <w:bookmarkStart w:id="55" w:name="_Hlk8811939"/>
      <w:r w:rsidRPr="00105427">
        <w:rPr>
          <w:rFonts w:eastAsia="Times New Roman"/>
          <w:sz w:val="22"/>
          <w:lang w:val="en-US"/>
        </w:rPr>
        <w:t>Amphora rim and neck; MB II</w:t>
      </w:r>
    </w:p>
    <w:p w14:paraId="25B9E541" w14:textId="77777777" w:rsidR="00E73BD8" w:rsidRPr="00105427" w:rsidRDefault="00E73BD8" w:rsidP="00E73BD8">
      <w:pPr>
        <w:widowControl w:val="0"/>
        <w:tabs>
          <w:tab w:val="left" w:pos="0"/>
          <w:tab w:val="left" w:pos="204"/>
        </w:tabs>
        <w:autoSpaceDE w:val="0"/>
        <w:autoSpaceDN w:val="0"/>
        <w:adjustRightInd w:val="0"/>
        <w:spacing w:after="0" w:line="240" w:lineRule="auto"/>
        <w:rPr>
          <w:rFonts w:eastAsia="Times New Roman"/>
          <w:sz w:val="22"/>
          <w:lang w:val="en-US"/>
        </w:rPr>
      </w:pPr>
      <w:r w:rsidRPr="00105427">
        <w:rPr>
          <w:rFonts w:eastAsia="Times New Roman"/>
          <w:sz w:val="22"/>
          <w:lang w:val="en-US"/>
        </w:rPr>
        <w:t>2.76.L166.B21+.(32)</w:t>
      </w:r>
      <w:bookmarkEnd w:id="55"/>
    </w:p>
    <w:p w14:paraId="679CA8C1" w14:textId="77777777" w:rsidR="00E73BD8" w:rsidRPr="00105427" w:rsidRDefault="00E73BD8" w:rsidP="00E73BD8">
      <w:pPr>
        <w:widowControl w:val="0"/>
        <w:tabs>
          <w:tab w:val="left" w:pos="0"/>
          <w:tab w:val="left" w:pos="204"/>
        </w:tabs>
        <w:autoSpaceDE w:val="0"/>
        <w:autoSpaceDN w:val="0"/>
        <w:adjustRightInd w:val="0"/>
        <w:spacing w:after="0" w:line="240" w:lineRule="auto"/>
        <w:rPr>
          <w:rFonts w:eastAsia="Times New Roman"/>
          <w:sz w:val="22"/>
          <w:lang w:val="en-US"/>
        </w:rPr>
      </w:pPr>
      <w:r w:rsidRPr="00105427">
        <w:rPr>
          <w:rFonts w:eastAsia="Times New Roman"/>
          <w:sz w:val="22"/>
          <w:lang w:val="en-US"/>
        </w:rPr>
        <w:t>Harvard Semitic Museum; Israel Antiquities Authority license no. A41/89</w:t>
      </w:r>
    </w:p>
    <w:p w14:paraId="0002F286" w14:textId="77777777" w:rsidR="00E73BD8" w:rsidRPr="00105427" w:rsidRDefault="00E73BD8" w:rsidP="00E73BD8">
      <w:pPr>
        <w:widowControl w:val="0"/>
        <w:tabs>
          <w:tab w:val="left" w:pos="0"/>
          <w:tab w:val="left" w:pos="204"/>
        </w:tabs>
        <w:autoSpaceDE w:val="0"/>
        <w:autoSpaceDN w:val="0"/>
        <w:adjustRightInd w:val="0"/>
        <w:spacing w:after="0" w:line="240" w:lineRule="auto"/>
        <w:rPr>
          <w:rFonts w:eastAsia="Times New Roman"/>
          <w:sz w:val="22"/>
          <w:lang w:val="en-US"/>
        </w:rPr>
      </w:pPr>
      <w:r w:rsidRPr="00105427">
        <w:rPr>
          <w:rFonts w:eastAsia="Times New Roman"/>
          <w:sz w:val="22"/>
          <w:lang w:val="en-US"/>
        </w:rPr>
        <w:t>NAA Provenience: Probably Southern Palestine</w:t>
      </w:r>
    </w:p>
    <w:p w14:paraId="0C1E9C34" w14:textId="77777777" w:rsidR="00E73BD8" w:rsidRPr="00105427" w:rsidRDefault="00E73BD8" w:rsidP="00E73BD8">
      <w:pPr>
        <w:widowControl w:val="0"/>
        <w:tabs>
          <w:tab w:val="left" w:pos="0"/>
          <w:tab w:val="left" w:pos="204"/>
        </w:tabs>
        <w:autoSpaceDE w:val="0"/>
        <w:autoSpaceDN w:val="0"/>
        <w:adjustRightInd w:val="0"/>
        <w:spacing w:after="0" w:line="240" w:lineRule="auto"/>
        <w:rPr>
          <w:rFonts w:eastAsia="Times New Roman"/>
          <w:sz w:val="22"/>
          <w:lang w:val="en-US"/>
        </w:rPr>
      </w:pPr>
    </w:p>
    <w:p w14:paraId="0D5B401A" w14:textId="77777777" w:rsidR="00E73BD8" w:rsidRPr="00105427" w:rsidRDefault="00E73BD8" w:rsidP="00E73BD8">
      <w:pPr>
        <w:widowControl w:val="0"/>
        <w:tabs>
          <w:tab w:val="left" w:pos="0"/>
          <w:tab w:val="left" w:pos="204"/>
        </w:tabs>
        <w:autoSpaceDE w:val="0"/>
        <w:autoSpaceDN w:val="0"/>
        <w:adjustRightInd w:val="0"/>
        <w:spacing w:after="0" w:line="240" w:lineRule="auto"/>
        <w:rPr>
          <w:rFonts w:eastAsia="Times New Roman"/>
          <w:sz w:val="22"/>
          <w:lang w:val="en-US"/>
        </w:rPr>
      </w:pPr>
      <w:r w:rsidRPr="00105427">
        <w:rPr>
          <w:rFonts w:eastAsia="Times New Roman"/>
          <w:sz w:val="22"/>
          <w:lang w:val="en-US"/>
        </w:rPr>
        <w:t>PMG563</w:t>
      </w:r>
    </w:p>
    <w:p w14:paraId="00B6D227" w14:textId="77777777" w:rsidR="00E73BD8" w:rsidRPr="00105427" w:rsidRDefault="00E73BD8" w:rsidP="00E73BD8">
      <w:pPr>
        <w:widowControl w:val="0"/>
        <w:tabs>
          <w:tab w:val="left" w:pos="0"/>
          <w:tab w:val="left" w:pos="204"/>
        </w:tabs>
        <w:autoSpaceDE w:val="0"/>
        <w:autoSpaceDN w:val="0"/>
        <w:adjustRightInd w:val="0"/>
        <w:spacing w:after="0" w:line="240" w:lineRule="auto"/>
        <w:rPr>
          <w:rFonts w:eastAsia="Times New Roman"/>
          <w:sz w:val="22"/>
          <w:lang w:val="en-US"/>
        </w:rPr>
      </w:pPr>
      <w:r w:rsidRPr="00105427">
        <w:rPr>
          <w:rFonts w:eastAsia="Times New Roman"/>
          <w:sz w:val="22"/>
          <w:lang w:val="en-US"/>
        </w:rPr>
        <w:t>White-slipped and painted juglet sherd (possibly Chocolate-on-White Ware); MB II</w:t>
      </w:r>
    </w:p>
    <w:p w14:paraId="00A8DF17" w14:textId="77777777" w:rsidR="00E73BD8" w:rsidRPr="00105427" w:rsidRDefault="00E73BD8" w:rsidP="00E73BD8">
      <w:pPr>
        <w:widowControl w:val="0"/>
        <w:tabs>
          <w:tab w:val="left" w:pos="0"/>
          <w:tab w:val="left" w:pos="204"/>
        </w:tabs>
        <w:autoSpaceDE w:val="0"/>
        <w:autoSpaceDN w:val="0"/>
        <w:adjustRightInd w:val="0"/>
        <w:spacing w:after="0" w:line="240" w:lineRule="auto"/>
        <w:rPr>
          <w:rFonts w:eastAsia="Times New Roman"/>
          <w:sz w:val="22"/>
          <w:lang w:val="en-US"/>
        </w:rPr>
      </w:pPr>
      <w:r w:rsidRPr="00105427">
        <w:rPr>
          <w:rFonts w:eastAsia="Times New Roman"/>
          <w:sz w:val="22"/>
          <w:lang w:val="en-US"/>
        </w:rPr>
        <w:t>2.76 L.166 B.25+.(46)</w:t>
      </w:r>
    </w:p>
    <w:p w14:paraId="69831C51" w14:textId="77777777" w:rsidR="00E73BD8" w:rsidRPr="00105427" w:rsidRDefault="00E73BD8" w:rsidP="00E73BD8">
      <w:pPr>
        <w:widowControl w:val="0"/>
        <w:tabs>
          <w:tab w:val="left" w:pos="0"/>
          <w:tab w:val="left" w:pos="204"/>
        </w:tabs>
        <w:autoSpaceDE w:val="0"/>
        <w:autoSpaceDN w:val="0"/>
        <w:adjustRightInd w:val="0"/>
        <w:spacing w:after="0" w:line="240" w:lineRule="auto"/>
        <w:rPr>
          <w:rFonts w:eastAsia="Times New Roman"/>
          <w:sz w:val="22"/>
          <w:lang w:val="en-US"/>
        </w:rPr>
      </w:pPr>
      <w:r w:rsidRPr="00105427">
        <w:rPr>
          <w:rFonts w:eastAsia="Times New Roman"/>
          <w:sz w:val="22"/>
          <w:lang w:val="en-US"/>
        </w:rPr>
        <w:t>Harvard Semitic Museum; Israel Antiquities Authority license no. A41/89</w:t>
      </w:r>
    </w:p>
    <w:p w14:paraId="65E24625" w14:textId="77777777" w:rsidR="00E73BD8" w:rsidRPr="00105427" w:rsidRDefault="00E73BD8" w:rsidP="00E73BD8">
      <w:pPr>
        <w:widowControl w:val="0"/>
        <w:tabs>
          <w:tab w:val="left" w:pos="0"/>
          <w:tab w:val="left" w:pos="204"/>
        </w:tabs>
        <w:autoSpaceDE w:val="0"/>
        <w:autoSpaceDN w:val="0"/>
        <w:adjustRightInd w:val="0"/>
        <w:spacing w:after="0" w:line="240" w:lineRule="auto"/>
        <w:rPr>
          <w:rFonts w:eastAsia="Times New Roman"/>
          <w:sz w:val="22"/>
          <w:lang w:val="en-US"/>
        </w:rPr>
      </w:pPr>
      <w:r w:rsidRPr="00105427">
        <w:rPr>
          <w:rFonts w:eastAsia="Times New Roman"/>
          <w:sz w:val="22"/>
          <w:lang w:val="en-US"/>
        </w:rPr>
        <w:t>NAA Provenience: Southern Palestine</w:t>
      </w:r>
    </w:p>
    <w:p w14:paraId="34A9EE8E" w14:textId="77777777" w:rsidR="00E73BD8" w:rsidRPr="00105427" w:rsidRDefault="00E73BD8" w:rsidP="00E73BD8">
      <w:pPr>
        <w:widowControl w:val="0"/>
        <w:tabs>
          <w:tab w:val="left" w:pos="0"/>
          <w:tab w:val="left" w:pos="204"/>
        </w:tabs>
        <w:autoSpaceDE w:val="0"/>
        <w:autoSpaceDN w:val="0"/>
        <w:adjustRightInd w:val="0"/>
        <w:spacing w:after="0" w:line="240" w:lineRule="auto"/>
        <w:rPr>
          <w:rFonts w:eastAsia="Times New Roman"/>
          <w:sz w:val="22"/>
          <w:lang w:val="en-US"/>
        </w:rPr>
      </w:pPr>
    </w:p>
    <w:p w14:paraId="763193C0" w14:textId="77777777" w:rsidR="00E73BD8" w:rsidRPr="00105427" w:rsidRDefault="00E73BD8" w:rsidP="00E73BD8">
      <w:pPr>
        <w:widowControl w:val="0"/>
        <w:tabs>
          <w:tab w:val="left" w:pos="0"/>
          <w:tab w:val="left" w:pos="204"/>
        </w:tabs>
        <w:autoSpaceDE w:val="0"/>
        <w:autoSpaceDN w:val="0"/>
        <w:adjustRightInd w:val="0"/>
        <w:spacing w:after="0" w:line="240" w:lineRule="auto"/>
        <w:rPr>
          <w:rFonts w:eastAsia="Times New Roman"/>
          <w:sz w:val="22"/>
          <w:lang w:val="en-US"/>
        </w:rPr>
      </w:pPr>
      <w:r w:rsidRPr="00105427">
        <w:rPr>
          <w:rFonts w:eastAsia="Times New Roman"/>
          <w:sz w:val="22"/>
          <w:lang w:val="en-US"/>
        </w:rPr>
        <w:t>PMG564</w:t>
      </w:r>
    </w:p>
    <w:p w14:paraId="66FE289B" w14:textId="77777777" w:rsidR="00E73BD8" w:rsidRPr="00105427" w:rsidRDefault="00E73BD8" w:rsidP="00E73BD8">
      <w:pPr>
        <w:widowControl w:val="0"/>
        <w:tabs>
          <w:tab w:val="left" w:pos="0"/>
          <w:tab w:val="left" w:pos="204"/>
        </w:tabs>
        <w:autoSpaceDE w:val="0"/>
        <w:autoSpaceDN w:val="0"/>
        <w:adjustRightInd w:val="0"/>
        <w:spacing w:after="0" w:line="240" w:lineRule="auto"/>
        <w:rPr>
          <w:rFonts w:eastAsia="Times New Roman"/>
          <w:sz w:val="22"/>
          <w:lang w:val="en-US"/>
        </w:rPr>
      </w:pPr>
      <w:bookmarkStart w:id="56" w:name="_Hlk8888210"/>
      <w:r w:rsidRPr="00105427">
        <w:rPr>
          <w:rFonts w:eastAsia="Times New Roman"/>
          <w:sz w:val="22"/>
          <w:lang w:val="en-US"/>
        </w:rPr>
        <w:t>Lisht Ware juglet (?)</w:t>
      </w:r>
      <w:bookmarkEnd w:id="56"/>
      <w:r w:rsidRPr="00105427">
        <w:rPr>
          <w:rFonts w:eastAsia="Times New Roman"/>
          <w:sz w:val="22"/>
          <w:lang w:val="en-US"/>
        </w:rPr>
        <w:t>; MB II</w:t>
      </w:r>
    </w:p>
    <w:p w14:paraId="3F68A5E3" w14:textId="77777777" w:rsidR="00E73BD8" w:rsidRPr="00105427" w:rsidRDefault="00E73BD8" w:rsidP="00E73BD8">
      <w:pPr>
        <w:widowControl w:val="0"/>
        <w:tabs>
          <w:tab w:val="left" w:pos="0"/>
          <w:tab w:val="left" w:pos="204"/>
        </w:tabs>
        <w:autoSpaceDE w:val="0"/>
        <w:autoSpaceDN w:val="0"/>
        <w:adjustRightInd w:val="0"/>
        <w:spacing w:after="0" w:line="240" w:lineRule="auto"/>
        <w:rPr>
          <w:rFonts w:eastAsia="Times New Roman"/>
          <w:sz w:val="22"/>
          <w:lang w:val="en-US"/>
        </w:rPr>
      </w:pPr>
      <w:r w:rsidRPr="00105427">
        <w:rPr>
          <w:rFonts w:eastAsia="Times New Roman"/>
          <w:sz w:val="22"/>
          <w:lang w:val="en-US"/>
        </w:rPr>
        <w:t>2.76.L166.B25+.(48)</w:t>
      </w:r>
    </w:p>
    <w:p w14:paraId="2CB0DEAA" w14:textId="77777777" w:rsidR="00E73BD8" w:rsidRPr="00105427" w:rsidRDefault="00E73BD8" w:rsidP="00E73BD8">
      <w:pPr>
        <w:widowControl w:val="0"/>
        <w:tabs>
          <w:tab w:val="left" w:pos="0"/>
          <w:tab w:val="left" w:pos="204"/>
        </w:tabs>
        <w:autoSpaceDE w:val="0"/>
        <w:autoSpaceDN w:val="0"/>
        <w:adjustRightInd w:val="0"/>
        <w:spacing w:after="0" w:line="240" w:lineRule="auto"/>
        <w:rPr>
          <w:rFonts w:eastAsia="Times New Roman"/>
          <w:sz w:val="22"/>
          <w:lang w:val="en-US"/>
        </w:rPr>
      </w:pPr>
      <w:r w:rsidRPr="00105427">
        <w:rPr>
          <w:rFonts w:eastAsia="Times New Roman"/>
          <w:sz w:val="22"/>
          <w:lang w:val="en-US"/>
        </w:rPr>
        <w:t>Harvard Semitic Museum; Israel Antiquities Authority license no. A41/89</w:t>
      </w:r>
    </w:p>
    <w:p w14:paraId="185AFA80" w14:textId="77777777" w:rsidR="00E73BD8" w:rsidRPr="00105427" w:rsidRDefault="00E73BD8" w:rsidP="00E73BD8">
      <w:pPr>
        <w:widowControl w:val="0"/>
        <w:tabs>
          <w:tab w:val="left" w:pos="0"/>
          <w:tab w:val="left" w:pos="204"/>
        </w:tabs>
        <w:autoSpaceDE w:val="0"/>
        <w:autoSpaceDN w:val="0"/>
        <w:adjustRightInd w:val="0"/>
        <w:spacing w:after="0" w:line="240" w:lineRule="auto"/>
        <w:rPr>
          <w:rFonts w:eastAsia="Times New Roman"/>
          <w:sz w:val="22"/>
          <w:lang w:val="en-US"/>
        </w:rPr>
      </w:pPr>
      <w:r w:rsidRPr="00105427">
        <w:rPr>
          <w:rFonts w:eastAsia="Times New Roman"/>
          <w:sz w:val="22"/>
          <w:lang w:val="en-US"/>
        </w:rPr>
        <w:t>NAA Provenience: Southern Palestine</w:t>
      </w:r>
    </w:p>
    <w:p w14:paraId="7548B2B3" w14:textId="77777777" w:rsidR="00E73BD8" w:rsidRPr="00105427" w:rsidRDefault="00E73BD8" w:rsidP="00E73BD8">
      <w:pPr>
        <w:widowControl w:val="0"/>
        <w:tabs>
          <w:tab w:val="left" w:pos="0"/>
          <w:tab w:val="left" w:pos="204"/>
        </w:tabs>
        <w:autoSpaceDE w:val="0"/>
        <w:autoSpaceDN w:val="0"/>
        <w:adjustRightInd w:val="0"/>
        <w:spacing w:after="0" w:line="240" w:lineRule="auto"/>
        <w:rPr>
          <w:rFonts w:eastAsia="Times New Roman"/>
          <w:sz w:val="22"/>
          <w:lang w:val="en-US"/>
        </w:rPr>
      </w:pPr>
    </w:p>
    <w:p w14:paraId="00FC71B2" w14:textId="6D8B3BC1" w:rsidR="00E73BD8" w:rsidRPr="00105427" w:rsidRDefault="00E73BD8" w:rsidP="00E73BD8">
      <w:pPr>
        <w:widowControl w:val="0"/>
        <w:tabs>
          <w:tab w:val="left" w:pos="0"/>
          <w:tab w:val="left" w:pos="204"/>
        </w:tabs>
        <w:autoSpaceDE w:val="0"/>
        <w:autoSpaceDN w:val="0"/>
        <w:adjustRightInd w:val="0"/>
        <w:spacing w:after="0" w:line="240" w:lineRule="auto"/>
        <w:rPr>
          <w:rFonts w:eastAsia="Times New Roman"/>
          <w:sz w:val="22"/>
          <w:lang w:val="en-US"/>
        </w:rPr>
      </w:pPr>
      <w:r w:rsidRPr="00105427">
        <w:rPr>
          <w:rFonts w:eastAsia="Times New Roman"/>
          <w:sz w:val="22"/>
          <w:lang w:val="en-US"/>
        </w:rPr>
        <w:t>PMG565</w:t>
      </w:r>
    </w:p>
    <w:p w14:paraId="6FA26618" w14:textId="77777777" w:rsidR="00E73BD8" w:rsidRPr="00105427" w:rsidRDefault="00E73BD8" w:rsidP="00E73BD8">
      <w:pPr>
        <w:widowControl w:val="0"/>
        <w:tabs>
          <w:tab w:val="left" w:pos="0"/>
          <w:tab w:val="left" w:pos="204"/>
        </w:tabs>
        <w:autoSpaceDE w:val="0"/>
        <w:autoSpaceDN w:val="0"/>
        <w:adjustRightInd w:val="0"/>
        <w:spacing w:after="0" w:line="240" w:lineRule="auto"/>
        <w:rPr>
          <w:rFonts w:eastAsia="Times New Roman"/>
          <w:sz w:val="22"/>
          <w:lang w:val="en-US"/>
        </w:rPr>
      </w:pPr>
      <w:r w:rsidRPr="00105427">
        <w:rPr>
          <w:rFonts w:eastAsia="Times New Roman"/>
          <w:sz w:val="22"/>
          <w:lang w:val="en-US"/>
        </w:rPr>
        <w:t>Tell el-Yahudiyeh Ovoid type base; MB II</w:t>
      </w:r>
    </w:p>
    <w:p w14:paraId="44339BE8" w14:textId="77777777" w:rsidR="00E73BD8" w:rsidRPr="00105427" w:rsidRDefault="00E73BD8" w:rsidP="00E73BD8">
      <w:pPr>
        <w:widowControl w:val="0"/>
        <w:tabs>
          <w:tab w:val="left" w:pos="0"/>
          <w:tab w:val="left" w:pos="204"/>
        </w:tabs>
        <w:autoSpaceDE w:val="0"/>
        <w:autoSpaceDN w:val="0"/>
        <w:adjustRightInd w:val="0"/>
        <w:spacing w:after="0" w:line="240" w:lineRule="auto"/>
        <w:rPr>
          <w:rFonts w:eastAsia="Times New Roman"/>
          <w:sz w:val="22"/>
          <w:lang w:val="en-US"/>
        </w:rPr>
      </w:pPr>
      <w:r w:rsidRPr="00105427">
        <w:rPr>
          <w:rFonts w:eastAsia="Times New Roman"/>
          <w:sz w:val="22"/>
          <w:lang w:val="en-US"/>
        </w:rPr>
        <w:t>2.76.L166.B26+.(28)</w:t>
      </w:r>
    </w:p>
    <w:p w14:paraId="0AF0FBF6" w14:textId="77777777" w:rsidR="00E73BD8" w:rsidRPr="00105427" w:rsidRDefault="00E73BD8" w:rsidP="00E73BD8">
      <w:pPr>
        <w:widowControl w:val="0"/>
        <w:tabs>
          <w:tab w:val="left" w:pos="0"/>
          <w:tab w:val="left" w:pos="204"/>
        </w:tabs>
        <w:autoSpaceDE w:val="0"/>
        <w:autoSpaceDN w:val="0"/>
        <w:adjustRightInd w:val="0"/>
        <w:spacing w:after="0" w:line="240" w:lineRule="auto"/>
        <w:rPr>
          <w:rFonts w:eastAsia="Times New Roman"/>
          <w:sz w:val="22"/>
          <w:lang w:val="en-US"/>
        </w:rPr>
      </w:pPr>
      <w:r w:rsidRPr="00105427">
        <w:rPr>
          <w:rFonts w:eastAsia="Times New Roman"/>
          <w:sz w:val="22"/>
          <w:lang w:val="en-US"/>
        </w:rPr>
        <w:t>Harvard Semitic Museum; Israel Antiquities Authority license no. A41/89</w:t>
      </w:r>
    </w:p>
    <w:p w14:paraId="59FEB653" w14:textId="77777777" w:rsidR="00E73BD8" w:rsidRPr="00105427" w:rsidRDefault="00E73BD8" w:rsidP="00E73BD8">
      <w:pPr>
        <w:widowControl w:val="0"/>
        <w:tabs>
          <w:tab w:val="left" w:pos="0"/>
          <w:tab w:val="left" w:pos="204"/>
        </w:tabs>
        <w:autoSpaceDE w:val="0"/>
        <w:autoSpaceDN w:val="0"/>
        <w:adjustRightInd w:val="0"/>
        <w:spacing w:after="0" w:line="240" w:lineRule="auto"/>
        <w:rPr>
          <w:rFonts w:eastAsia="Times New Roman"/>
          <w:sz w:val="22"/>
          <w:lang w:val="en-US"/>
        </w:rPr>
      </w:pPr>
      <w:r w:rsidRPr="00105427">
        <w:rPr>
          <w:rFonts w:eastAsia="Times New Roman"/>
          <w:sz w:val="22"/>
          <w:lang w:val="en-US"/>
        </w:rPr>
        <w:t>NAA Provenience: Egyptian Nile alluvium</w:t>
      </w:r>
    </w:p>
    <w:p w14:paraId="1BA58391" w14:textId="77777777" w:rsidR="00E73BD8" w:rsidRPr="00105427" w:rsidRDefault="00E73BD8" w:rsidP="00E73BD8">
      <w:pPr>
        <w:widowControl w:val="0"/>
        <w:tabs>
          <w:tab w:val="left" w:pos="0"/>
          <w:tab w:val="left" w:pos="204"/>
        </w:tabs>
        <w:autoSpaceDE w:val="0"/>
        <w:autoSpaceDN w:val="0"/>
        <w:adjustRightInd w:val="0"/>
        <w:spacing w:after="0" w:line="240" w:lineRule="auto"/>
        <w:rPr>
          <w:rFonts w:eastAsia="Times New Roman"/>
          <w:sz w:val="22"/>
          <w:lang w:val="en-US"/>
        </w:rPr>
      </w:pPr>
    </w:p>
    <w:p w14:paraId="371B5F09" w14:textId="77777777" w:rsidR="003F7D74" w:rsidRDefault="003F7D74">
      <w:pPr>
        <w:spacing w:line="259" w:lineRule="auto"/>
        <w:rPr>
          <w:rFonts w:eastAsia="Times New Roman"/>
          <w:sz w:val="22"/>
          <w:lang w:val="en-US"/>
        </w:rPr>
      </w:pPr>
      <w:bookmarkStart w:id="57" w:name="_Hlk8811719"/>
      <w:r>
        <w:rPr>
          <w:rFonts w:eastAsia="Times New Roman"/>
          <w:sz w:val="22"/>
          <w:lang w:val="en-US"/>
        </w:rPr>
        <w:br w:type="page"/>
      </w:r>
    </w:p>
    <w:p w14:paraId="37B51D5B" w14:textId="03DC57A7" w:rsidR="00E73BD8" w:rsidRPr="00105427" w:rsidRDefault="00E73BD8" w:rsidP="00E73BD8">
      <w:pPr>
        <w:widowControl w:val="0"/>
        <w:tabs>
          <w:tab w:val="left" w:pos="0"/>
          <w:tab w:val="left" w:pos="204"/>
        </w:tabs>
        <w:autoSpaceDE w:val="0"/>
        <w:autoSpaceDN w:val="0"/>
        <w:adjustRightInd w:val="0"/>
        <w:spacing w:after="0" w:line="240" w:lineRule="auto"/>
        <w:rPr>
          <w:rFonts w:eastAsia="Times New Roman"/>
          <w:sz w:val="22"/>
          <w:lang w:val="en-US"/>
        </w:rPr>
      </w:pPr>
      <w:r w:rsidRPr="00105427">
        <w:rPr>
          <w:rFonts w:eastAsia="Times New Roman"/>
          <w:sz w:val="22"/>
          <w:lang w:val="en-US"/>
        </w:rPr>
        <w:lastRenderedPageBreak/>
        <w:t>PMG566</w:t>
      </w:r>
    </w:p>
    <w:p w14:paraId="3A33F111" w14:textId="77777777" w:rsidR="00E73BD8" w:rsidRPr="00105427" w:rsidRDefault="00E73BD8" w:rsidP="00E73BD8">
      <w:pPr>
        <w:widowControl w:val="0"/>
        <w:tabs>
          <w:tab w:val="left" w:pos="0"/>
          <w:tab w:val="left" w:pos="204"/>
        </w:tabs>
        <w:autoSpaceDE w:val="0"/>
        <w:autoSpaceDN w:val="0"/>
        <w:adjustRightInd w:val="0"/>
        <w:spacing w:after="0" w:line="240" w:lineRule="auto"/>
        <w:rPr>
          <w:rFonts w:eastAsia="Times New Roman"/>
          <w:sz w:val="22"/>
          <w:lang w:val="en-US"/>
        </w:rPr>
      </w:pPr>
      <w:r w:rsidRPr="00105427">
        <w:rPr>
          <w:rFonts w:eastAsia="Times New Roman"/>
          <w:sz w:val="22"/>
          <w:lang w:val="en-US"/>
        </w:rPr>
        <w:t>Tell el-Yahudiyeh Piriform 4 type base; MB II</w:t>
      </w:r>
    </w:p>
    <w:p w14:paraId="75B3FE2D" w14:textId="77777777" w:rsidR="00E73BD8" w:rsidRPr="00105427" w:rsidRDefault="00E73BD8" w:rsidP="00E73BD8">
      <w:pPr>
        <w:widowControl w:val="0"/>
        <w:tabs>
          <w:tab w:val="left" w:pos="0"/>
          <w:tab w:val="left" w:pos="204"/>
        </w:tabs>
        <w:autoSpaceDE w:val="0"/>
        <w:autoSpaceDN w:val="0"/>
        <w:adjustRightInd w:val="0"/>
        <w:spacing w:after="0" w:line="240" w:lineRule="auto"/>
        <w:rPr>
          <w:rFonts w:eastAsia="Times New Roman"/>
          <w:sz w:val="22"/>
          <w:lang w:val="en-US"/>
        </w:rPr>
      </w:pPr>
      <w:r w:rsidRPr="00105427">
        <w:rPr>
          <w:rFonts w:eastAsia="Times New Roman"/>
          <w:sz w:val="22"/>
          <w:lang w:val="en-US"/>
        </w:rPr>
        <w:t>2.85 L.99 B.22</w:t>
      </w:r>
    </w:p>
    <w:p w14:paraId="152AFEDC" w14:textId="77777777" w:rsidR="00E73BD8" w:rsidRPr="00105427" w:rsidRDefault="00E73BD8" w:rsidP="00E73BD8">
      <w:pPr>
        <w:widowControl w:val="0"/>
        <w:tabs>
          <w:tab w:val="left" w:pos="0"/>
          <w:tab w:val="left" w:pos="204"/>
        </w:tabs>
        <w:autoSpaceDE w:val="0"/>
        <w:autoSpaceDN w:val="0"/>
        <w:adjustRightInd w:val="0"/>
        <w:spacing w:after="0" w:line="240" w:lineRule="auto"/>
        <w:rPr>
          <w:rFonts w:eastAsia="Times New Roman"/>
          <w:sz w:val="22"/>
          <w:lang w:val="en-US"/>
        </w:rPr>
      </w:pPr>
      <w:r w:rsidRPr="00105427">
        <w:rPr>
          <w:rFonts w:eastAsia="Times New Roman"/>
          <w:sz w:val="22"/>
          <w:lang w:val="en-US"/>
        </w:rPr>
        <w:t xml:space="preserve">Harvard Semitic Museum; Israel Antiquities Authority license no. </w:t>
      </w:r>
      <w:bookmarkStart w:id="58" w:name="_Hlk8880194"/>
      <w:r w:rsidRPr="00105427">
        <w:rPr>
          <w:rFonts w:eastAsia="Times New Roman"/>
          <w:sz w:val="22"/>
          <w:lang w:val="en-US"/>
        </w:rPr>
        <w:t>A72/92</w:t>
      </w:r>
      <w:bookmarkEnd w:id="58"/>
    </w:p>
    <w:p w14:paraId="2D7FF0CD" w14:textId="77777777" w:rsidR="00E73BD8" w:rsidRPr="00105427" w:rsidRDefault="00E73BD8" w:rsidP="00E73BD8">
      <w:pPr>
        <w:widowControl w:val="0"/>
        <w:tabs>
          <w:tab w:val="left" w:pos="0"/>
          <w:tab w:val="left" w:pos="204"/>
        </w:tabs>
        <w:autoSpaceDE w:val="0"/>
        <w:autoSpaceDN w:val="0"/>
        <w:adjustRightInd w:val="0"/>
        <w:spacing w:after="0" w:line="240" w:lineRule="auto"/>
        <w:rPr>
          <w:rFonts w:eastAsia="Times New Roman"/>
          <w:sz w:val="22"/>
          <w:lang w:val="en-US"/>
        </w:rPr>
      </w:pPr>
      <w:r w:rsidRPr="00105427">
        <w:rPr>
          <w:rFonts w:eastAsia="Times New Roman"/>
          <w:sz w:val="22"/>
          <w:lang w:val="en-US"/>
        </w:rPr>
        <w:t>NAA Provenience: Egyptian Nile alluvium</w:t>
      </w:r>
    </w:p>
    <w:p w14:paraId="2045A8C3" w14:textId="77777777" w:rsidR="00E73BD8" w:rsidRPr="00105427" w:rsidRDefault="00E73BD8" w:rsidP="00E73BD8">
      <w:pPr>
        <w:widowControl w:val="0"/>
        <w:tabs>
          <w:tab w:val="left" w:pos="0"/>
          <w:tab w:val="left" w:pos="204"/>
        </w:tabs>
        <w:autoSpaceDE w:val="0"/>
        <w:autoSpaceDN w:val="0"/>
        <w:adjustRightInd w:val="0"/>
        <w:spacing w:after="0" w:line="240" w:lineRule="auto"/>
        <w:rPr>
          <w:rFonts w:eastAsia="Times New Roman"/>
          <w:sz w:val="22"/>
          <w:lang w:val="en-US"/>
        </w:rPr>
      </w:pPr>
    </w:p>
    <w:p w14:paraId="2B6814D6" w14:textId="77777777" w:rsidR="00E73BD8" w:rsidRPr="00105427" w:rsidRDefault="00E73BD8" w:rsidP="00E73BD8">
      <w:pPr>
        <w:widowControl w:val="0"/>
        <w:tabs>
          <w:tab w:val="left" w:pos="0"/>
          <w:tab w:val="left" w:pos="204"/>
        </w:tabs>
        <w:autoSpaceDE w:val="0"/>
        <w:autoSpaceDN w:val="0"/>
        <w:adjustRightInd w:val="0"/>
        <w:spacing w:after="0" w:line="240" w:lineRule="auto"/>
        <w:rPr>
          <w:rFonts w:eastAsia="Times New Roman"/>
          <w:sz w:val="22"/>
          <w:lang w:val="en-US"/>
        </w:rPr>
      </w:pPr>
      <w:r w:rsidRPr="00105427">
        <w:rPr>
          <w:rFonts w:eastAsia="Times New Roman"/>
          <w:sz w:val="22"/>
          <w:lang w:val="en-US"/>
        </w:rPr>
        <w:t>PMG567</w:t>
      </w:r>
    </w:p>
    <w:p w14:paraId="52F420F8" w14:textId="77777777" w:rsidR="00E73BD8" w:rsidRPr="00105427" w:rsidRDefault="00E73BD8" w:rsidP="00E73BD8">
      <w:pPr>
        <w:widowControl w:val="0"/>
        <w:tabs>
          <w:tab w:val="left" w:pos="0"/>
          <w:tab w:val="left" w:pos="204"/>
        </w:tabs>
        <w:autoSpaceDE w:val="0"/>
        <w:autoSpaceDN w:val="0"/>
        <w:adjustRightInd w:val="0"/>
        <w:spacing w:after="0" w:line="240" w:lineRule="auto"/>
        <w:rPr>
          <w:rFonts w:eastAsia="Times New Roman"/>
          <w:sz w:val="22"/>
          <w:lang w:val="en-US"/>
        </w:rPr>
      </w:pPr>
      <w:r w:rsidRPr="00105427">
        <w:rPr>
          <w:rFonts w:eastAsia="Times New Roman"/>
          <w:sz w:val="22"/>
          <w:lang w:val="en-US"/>
        </w:rPr>
        <w:t>Tell el-Yahudiyeh Piriform 2 base; MB II</w:t>
      </w:r>
    </w:p>
    <w:p w14:paraId="7AA1B204" w14:textId="77777777" w:rsidR="00E73BD8" w:rsidRPr="00105427" w:rsidRDefault="00E73BD8" w:rsidP="00E73BD8">
      <w:pPr>
        <w:widowControl w:val="0"/>
        <w:tabs>
          <w:tab w:val="left" w:pos="0"/>
          <w:tab w:val="left" w:pos="204"/>
        </w:tabs>
        <w:autoSpaceDE w:val="0"/>
        <w:autoSpaceDN w:val="0"/>
        <w:adjustRightInd w:val="0"/>
        <w:spacing w:after="0" w:line="240" w:lineRule="auto"/>
        <w:rPr>
          <w:rFonts w:eastAsia="Times New Roman"/>
          <w:sz w:val="22"/>
          <w:lang w:val="en-US"/>
        </w:rPr>
      </w:pPr>
      <w:r w:rsidRPr="00105427">
        <w:rPr>
          <w:rFonts w:eastAsia="Times New Roman"/>
          <w:sz w:val="22"/>
          <w:lang w:val="en-US"/>
        </w:rPr>
        <w:t>2.85 L.99 B.22+.(nn</w:t>
      </w:r>
      <w:r w:rsidRPr="00105427">
        <w:rPr>
          <w:rFonts w:eastAsia="Times New Roman"/>
          <w:sz w:val="22"/>
          <w:vertAlign w:val="superscript"/>
          <w:lang w:val="en-US"/>
        </w:rPr>
        <w:footnoteReference w:id="44"/>
      </w:r>
      <w:r w:rsidRPr="00105427">
        <w:rPr>
          <w:rFonts w:eastAsia="Times New Roman"/>
          <w:sz w:val="22"/>
          <w:lang w:val="en-US"/>
        </w:rPr>
        <w:t>)</w:t>
      </w:r>
    </w:p>
    <w:p w14:paraId="2837412F" w14:textId="77777777" w:rsidR="00E73BD8" w:rsidRPr="00105427" w:rsidRDefault="00E73BD8" w:rsidP="00E73BD8">
      <w:pPr>
        <w:widowControl w:val="0"/>
        <w:tabs>
          <w:tab w:val="left" w:pos="0"/>
          <w:tab w:val="left" w:pos="204"/>
        </w:tabs>
        <w:autoSpaceDE w:val="0"/>
        <w:autoSpaceDN w:val="0"/>
        <w:adjustRightInd w:val="0"/>
        <w:spacing w:after="0" w:line="240" w:lineRule="auto"/>
        <w:rPr>
          <w:rFonts w:eastAsia="Times New Roman"/>
          <w:sz w:val="22"/>
          <w:lang w:val="en-US"/>
        </w:rPr>
      </w:pPr>
      <w:r w:rsidRPr="00105427">
        <w:rPr>
          <w:rFonts w:eastAsia="Times New Roman"/>
          <w:sz w:val="22"/>
          <w:lang w:val="en-US"/>
        </w:rPr>
        <w:t>Harvard Semitic Museum; Israel Antiquities Authority license no. A72/92</w:t>
      </w:r>
    </w:p>
    <w:p w14:paraId="6ACC7A1E" w14:textId="77777777" w:rsidR="00E73BD8" w:rsidRPr="00105427" w:rsidRDefault="00E73BD8" w:rsidP="00E73BD8">
      <w:pPr>
        <w:widowControl w:val="0"/>
        <w:tabs>
          <w:tab w:val="left" w:pos="0"/>
          <w:tab w:val="left" w:pos="204"/>
        </w:tabs>
        <w:autoSpaceDE w:val="0"/>
        <w:autoSpaceDN w:val="0"/>
        <w:adjustRightInd w:val="0"/>
        <w:spacing w:after="0" w:line="240" w:lineRule="auto"/>
        <w:rPr>
          <w:rFonts w:eastAsia="Times New Roman"/>
          <w:sz w:val="22"/>
          <w:lang w:val="en-US"/>
        </w:rPr>
      </w:pPr>
      <w:bookmarkStart w:id="59" w:name="_Hlk8816502"/>
      <w:r w:rsidRPr="00105427">
        <w:rPr>
          <w:rFonts w:eastAsia="Times New Roman"/>
          <w:sz w:val="22"/>
          <w:lang w:val="en-US"/>
        </w:rPr>
        <w:t xml:space="preserve">NAA Provenience: </w:t>
      </w:r>
      <w:bookmarkEnd w:id="59"/>
      <w:r w:rsidRPr="00105427">
        <w:rPr>
          <w:rFonts w:eastAsia="Times New Roman"/>
          <w:sz w:val="22"/>
          <w:lang w:val="en-US"/>
        </w:rPr>
        <w:t>Egyptian Nile alluvium</w:t>
      </w:r>
    </w:p>
    <w:p w14:paraId="4175CD21" w14:textId="77777777" w:rsidR="00E73BD8" w:rsidRPr="00105427" w:rsidRDefault="00E73BD8" w:rsidP="00E73BD8">
      <w:pPr>
        <w:widowControl w:val="0"/>
        <w:tabs>
          <w:tab w:val="left" w:pos="0"/>
          <w:tab w:val="left" w:pos="204"/>
        </w:tabs>
        <w:autoSpaceDE w:val="0"/>
        <w:autoSpaceDN w:val="0"/>
        <w:adjustRightInd w:val="0"/>
        <w:spacing w:after="0" w:line="240" w:lineRule="auto"/>
        <w:rPr>
          <w:rFonts w:eastAsia="Times New Roman"/>
          <w:sz w:val="22"/>
          <w:lang w:val="en-US"/>
        </w:rPr>
      </w:pPr>
    </w:p>
    <w:p w14:paraId="5F4B4B1F" w14:textId="77777777" w:rsidR="00E73BD8" w:rsidRPr="00105427" w:rsidRDefault="00E73BD8" w:rsidP="00E73BD8">
      <w:pPr>
        <w:widowControl w:val="0"/>
        <w:tabs>
          <w:tab w:val="left" w:pos="0"/>
          <w:tab w:val="left" w:pos="204"/>
        </w:tabs>
        <w:autoSpaceDE w:val="0"/>
        <w:autoSpaceDN w:val="0"/>
        <w:adjustRightInd w:val="0"/>
        <w:spacing w:after="0" w:line="240" w:lineRule="auto"/>
        <w:rPr>
          <w:rFonts w:eastAsia="Times New Roman"/>
          <w:sz w:val="22"/>
          <w:lang w:val="en-US"/>
        </w:rPr>
      </w:pPr>
      <w:r w:rsidRPr="00105427">
        <w:rPr>
          <w:rFonts w:eastAsia="Times New Roman"/>
          <w:sz w:val="22"/>
          <w:lang w:val="en-US"/>
        </w:rPr>
        <w:t>PMG576</w:t>
      </w:r>
    </w:p>
    <w:p w14:paraId="668DBFD2" w14:textId="77777777" w:rsidR="00E73BD8" w:rsidRPr="00105427" w:rsidRDefault="00E73BD8" w:rsidP="00E73BD8">
      <w:pPr>
        <w:widowControl w:val="0"/>
        <w:tabs>
          <w:tab w:val="left" w:pos="0"/>
          <w:tab w:val="left" w:pos="204"/>
        </w:tabs>
        <w:autoSpaceDE w:val="0"/>
        <w:autoSpaceDN w:val="0"/>
        <w:adjustRightInd w:val="0"/>
        <w:spacing w:after="0" w:line="240" w:lineRule="auto"/>
        <w:rPr>
          <w:rFonts w:eastAsia="Times New Roman"/>
          <w:sz w:val="22"/>
          <w:lang w:val="en-US"/>
        </w:rPr>
      </w:pPr>
      <w:r w:rsidRPr="00105427">
        <w:rPr>
          <w:rFonts w:eastAsia="Times New Roman"/>
          <w:sz w:val="22"/>
          <w:lang w:val="en-US"/>
        </w:rPr>
        <w:t>Unstamped clay bulla; MB IIA</w:t>
      </w:r>
    </w:p>
    <w:p w14:paraId="6704DA24" w14:textId="77777777" w:rsidR="00E73BD8" w:rsidRPr="00105427" w:rsidRDefault="00E73BD8" w:rsidP="00E73BD8">
      <w:pPr>
        <w:widowControl w:val="0"/>
        <w:tabs>
          <w:tab w:val="left" w:pos="0"/>
          <w:tab w:val="left" w:pos="204"/>
        </w:tabs>
        <w:autoSpaceDE w:val="0"/>
        <w:autoSpaceDN w:val="0"/>
        <w:adjustRightInd w:val="0"/>
        <w:spacing w:after="0" w:line="240" w:lineRule="auto"/>
        <w:rPr>
          <w:rFonts w:eastAsia="Times New Roman"/>
          <w:sz w:val="22"/>
          <w:lang w:val="en-US"/>
        </w:rPr>
      </w:pPr>
      <w:r w:rsidRPr="00105427">
        <w:rPr>
          <w:rFonts w:eastAsia="Times New Roman"/>
          <w:sz w:val="22"/>
          <w:lang w:val="en-US"/>
        </w:rPr>
        <w:t>2.56.L17.B303.MC</w:t>
      </w:r>
      <w:r w:rsidRPr="00105427">
        <w:rPr>
          <w:rFonts w:eastAsia="Times New Roman"/>
          <w:sz w:val="22"/>
          <w:vertAlign w:val="superscript"/>
          <w:lang w:val="en-US"/>
        </w:rPr>
        <w:footnoteReference w:id="45"/>
      </w:r>
      <w:r w:rsidRPr="00105427">
        <w:rPr>
          <w:rFonts w:eastAsia="Times New Roman"/>
          <w:sz w:val="22"/>
          <w:lang w:val="en-US"/>
        </w:rPr>
        <w:t>#51658</w:t>
      </w:r>
    </w:p>
    <w:p w14:paraId="403184C6" w14:textId="77777777" w:rsidR="00E73BD8" w:rsidRPr="00105427" w:rsidRDefault="00E73BD8" w:rsidP="00E73BD8">
      <w:pPr>
        <w:widowControl w:val="0"/>
        <w:tabs>
          <w:tab w:val="left" w:pos="0"/>
          <w:tab w:val="left" w:pos="204"/>
        </w:tabs>
        <w:autoSpaceDE w:val="0"/>
        <w:autoSpaceDN w:val="0"/>
        <w:adjustRightInd w:val="0"/>
        <w:spacing w:after="0" w:line="240" w:lineRule="auto"/>
        <w:rPr>
          <w:rFonts w:eastAsia="Times New Roman"/>
          <w:sz w:val="22"/>
          <w:lang w:val="en-US"/>
        </w:rPr>
      </w:pPr>
      <w:r w:rsidRPr="00105427">
        <w:rPr>
          <w:rFonts w:eastAsia="Times New Roman"/>
          <w:i/>
          <w:sz w:val="22"/>
          <w:lang w:val="en-US"/>
        </w:rPr>
        <w:t>Ashkelon 6</w:t>
      </w:r>
      <w:r w:rsidRPr="00105427">
        <w:rPr>
          <w:rFonts w:eastAsia="Times New Roman"/>
          <w:i/>
          <w:sz w:val="22"/>
          <w:vertAlign w:val="superscript"/>
          <w:lang w:val="en-US"/>
        </w:rPr>
        <w:footnoteReference w:id="46"/>
      </w:r>
      <w:r w:rsidRPr="00105427">
        <w:rPr>
          <w:rFonts w:eastAsia="Times New Roman"/>
          <w:sz w:val="22"/>
          <w:lang w:val="en-US"/>
        </w:rPr>
        <w:t>: fig. 13.28 or 13.32-33</w:t>
      </w:r>
    </w:p>
    <w:p w14:paraId="46BF76C6" w14:textId="77777777" w:rsidR="00E73BD8" w:rsidRPr="00105427" w:rsidRDefault="00E73BD8" w:rsidP="00E73BD8">
      <w:pPr>
        <w:widowControl w:val="0"/>
        <w:tabs>
          <w:tab w:val="left" w:pos="0"/>
          <w:tab w:val="left" w:pos="3922"/>
        </w:tabs>
        <w:autoSpaceDE w:val="0"/>
        <w:autoSpaceDN w:val="0"/>
        <w:adjustRightInd w:val="0"/>
        <w:spacing w:after="0" w:line="240" w:lineRule="auto"/>
        <w:rPr>
          <w:rFonts w:eastAsia="Times New Roman"/>
          <w:sz w:val="22"/>
          <w:lang w:val="en-US"/>
        </w:rPr>
      </w:pPr>
      <w:r w:rsidRPr="00105427">
        <w:rPr>
          <w:rFonts w:eastAsia="Times New Roman"/>
          <w:sz w:val="22"/>
          <w:lang w:val="en-US"/>
        </w:rPr>
        <w:t xml:space="preserve">Harvard Semitic Museum; Israel Antiquities Authority license no. </w:t>
      </w:r>
      <w:bookmarkStart w:id="60" w:name="_Hlk8880266"/>
      <w:r w:rsidRPr="00105427">
        <w:rPr>
          <w:rFonts w:eastAsia="Times New Roman"/>
          <w:sz w:val="22"/>
          <w:lang w:val="en-US"/>
        </w:rPr>
        <w:t>A73/98</w:t>
      </w:r>
      <w:bookmarkEnd w:id="60"/>
    </w:p>
    <w:p w14:paraId="3A3C5169" w14:textId="77777777" w:rsidR="00E73BD8" w:rsidRPr="00105427" w:rsidRDefault="00E73BD8" w:rsidP="00E73BD8">
      <w:pPr>
        <w:widowControl w:val="0"/>
        <w:tabs>
          <w:tab w:val="left" w:pos="0"/>
          <w:tab w:val="left" w:pos="3922"/>
        </w:tabs>
        <w:autoSpaceDE w:val="0"/>
        <w:autoSpaceDN w:val="0"/>
        <w:adjustRightInd w:val="0"/>
        <w:spacing w:after="0" w:line="240" w:lineRule="auto"/>
        <w:rPr>
          <w:rFonts w:eastAsia="Times New Roman"/>
          <w:sz w:val="22"/>
          <w:lang w:val="en-US"/>
        </w:rPr>
      </w:pPr>
      <w:r w:rsidRPr="00105427">
        <w:rPr>
          <w:rFonts w:eastAsia="Times New Roman"/>
          <w:sz w:val="22"/>
          <w:lang w:val="en-US"/>
        </w:rPr>
        <w:t>NAA Provenience: Southern Palestine</w:t>
      </w:r>
    </w:p>
    <w:p w14:paraId="370C0DED" w14:textId="77777777" w:rsidR="00E73BD8" w:rsidRPr="00105427" w:rsidRDefault="00E73BD8" w:rsidP="00E73BD8">
      <w:pPr>
        <w:widowControl w:val="0"/>
        <w:tabs>
          <w:tab w:val="left" w:pos="0"/>
          <w:tab w:val="left" w:pos="3922"/>
        </w:tabs>
        <w:autoSpaceDE w:val="0"/>
        <w:autoSpaceDN w:val="0"/>
        <w:adjustRightInd w:val="0"/>
        <w:spacing w:after="0" w:line="240" w:lineRule="auto"/>
        <w:rPr>
          <w:rFonts w:eastAsia="Times New Roman"/>
          <w:sz w:val="22"/>
          <w:lang w:val="en-US"/>
        </w:rPr>
      </w:pPr>
    </w:p>
    <w:p w14:paraId="647EFC56" w14:textId="77777777" w:rsidR="00E73BD8" w:rsidRPr="00105427" w:rsidRDefault="00E73BD8" w:rsidP="00E73BD8">
      <w:pPr>
        <w:widowControl w:val="0"/>
        <w:tabs>
          <w:tab w:val="left" w:pos="0"/>
          <w:tab w:val="left" w:pos="3922"/>
        </w:tabs>
        <w:autoSpaceDE w:val="0"/>
        <w:autoSpaceDN w:val="0"/>
        <w:adjustRightInd w:val="0"/>
        <w:spacing w:after="0" w:line="240" w:lineRule="auto"/>
        <w:rPr>
          <w:rFonts w:eastAsia="Times New Roman"/>
          <w:sz w:val="22"/>
          <w:lang w:val="en-US"/>
        </w:rPr>
      </w:pPr>
      <w:r w:rsidRPr="00105427">
        <w:rPr>
          <w:rFonts w:eastAsia="Times New Roman"/>
          <w:sz w:val="22"/>
          <w:lang w:val="en-US"/>
        </w:rPr>
        <w:t>PMG577</w:t>
      </w:r>
    </w:p>
    <w:p w14:paraId="76A354C4" w14:textId="77777777" w:rsidR="00E73BD8" w:rsidRPr="00105427" w:rsidRDefault="00E73BD8" w:rsidP="00E73BD8">
      <w:pPr>
        <w:widowControl w:val="0"/>
        <w:tabs>
          <w:tab w:val="left" w:pos="0"/>
          <w:tab w:val="left" w:pos="3922"/>
        </w:tabs>
        <w:autoSpaceDE w:val="0"/>
        <w:autoSpaceDN w:val="0"/>
        <w:adjustRightInd w:val="0"/>
        <w:spacing w:after="0" w:line="240" w:lineRule="auto"/>
        <w:rPr>
          <w:rFonts w:eastAsia="Times New Roman"/>
          <w:sz w:val="22"/>
          <w:lang w:val="en-US"/>
        </w:rPr>
      </w:pPr>
      <w:r w:rsidRPr="00105427">
        <w:rPr>
          <w:rFonts w:eastAsia="Times New Roman"/>
          <w:sz w:val="22"/>
          <w:lang w:val="en-US"/>
        </w:rPr>
        <w:t>Stamped clay bulla; MB IIA</w:t>
      </w:r>
    </w:p>
    <w:p w14:paraId="72F7E820" w14:textId="77777777" w:rsidR="00E73BD8" w:rsidRPr="00105427" w:rsidRDefault="00E73BD8" w:rsidP="00E73BD8">
      <w:pPr>
        <w:widowControl w:val="0"/>
        <w:tabs>
          <w:tab w:val="left" w:pos="0"/>
          <w:tab w:val="left" w:pos="3922"/>
        </w:tabs>
        <w:autoSpaceDE w:val="0"/>
        <w:autoSpaceDN w:val="0"/>
        <w:adjustRightInd w:val="0"/>
        <w:spacing w:after="0" w:line="240" w:lineRule="auto"/>
        <w:rPr>
          <w:rFonts w:eastAsia="Times New Roman"/>
          <w:sz w:val="22"/>
          <w:lang w:val="en-US"/>
        </w:rPr>
      </w:pPr>
      <w:r w:rsidRPr="00105427">
        <w:rPr>
          <w:rFonts w:eastAsia="Times New Roman"/>
          <w:sz w:val="22"/>
          <w:lang w:val="en-US"/>
        </w:rPr>
        <w:t>2.56.L17.B436.</w:t>
      </w:r>
      <w:bookmarkStart w:id="61" w:name="_Hlk8791115"/>
      <w:r w:rsidRPr="00105427">
        <w:rPr>
          <w:rFonts w:eastAsia="Times New Roman"/>
          <w:sz w:val="22"/>
          <w:lang w:val="en-US"/>
        </w:rPr>
        <w:t>MC#</w:t>
      </w:r>
      <w:bookmarkEnd w:id="61"/>
      <w:r w:rsidRPr="00105427">
        <w:rPr>
          <w:rFonts w:eastAsia="Times New Roman"/>
          <w:sz w:val="22"/>
          <w:lang w:val="en-US"/>
        </w:rPr>
        <w:t>51647</w:t>
      </w:r>
    </w:p>
    <w:p w14:paraId="2B90F675" w14:textId="77777777" w:rsidR="00E73BD8" w:rsidRPr="00105427" w:rsidRDefault="00E73BD8" w:rsidP="00E73BD8">
      <w:pPr>
        <w:widowControl w:val="0"/>
        <w:tabs>
          <w:tab w:val="left" w:pos="0"/>
          <w:tab w:val="left" w:pos="3922"/>
        </w:tabs>
        <w:autoSpaceDE w:val="0"/>
        <w:autoSpaceDN w:val="0"/>
        <w:adjustRightInd w:val="0"/>
        <w:spacing w:after="0" w:line="240" w:lineRule="auto"/>
        <w:rPr>
          <w:rFonts w:eastAsia="Times New Roman"/>
          <w:sz w:val="22"/>
          <w:lang w:val="en-US"/>
        </w:rPr>
      </w:pPr>
      <w:r w:rsidRPr="00105427">
        <w:rPr>
          <w:rFonts w:eastAsia="Times New Roman"/>
          <w:i/>
          <w:sz w:val="22"/>
          <w:lang w:val="en-US"/>
        </w:rPr>
        <w:t>Ashkelon 6</w:t>
      </w:r>
      <w:r w:rsidRPr="00105427">
        <w:rPr>
          <w:rFonts w:eastAsia="Times New Roman"/>
          <w:sz w:val="22"/>
          <w:lang w:val="en-US"/>
        </w:rPr>
        <w:t>: catalogue no. 25 and fig. 13:43</w:t>
      </w:r>
    </w:p>
    <w:p w14:paraId="734BB075" w14:textId="77777777" w:rsidR="00E73BD8" w:rsidRPr="00105427" w:rsidRDefault="00E73BD8" w:rsidP="00E73BD8">
      <w:pPr>
        <w:widowControl w:val="0"/>
        <w:tabs>
          <w:tab w:val="left" w:pos="0"/>
          <w:tab w:val="left" w:pos="3922"/>
        </w:tabs>
        <w:autoSpaceDE w:val="0"/>
        <w:autoSpaceDN w:val="0"/>
        <w:adjustRightInd w:val="0"/>
        <w:spacing w:after="0" w:line="240" w:lineRule="auto"/>
        <w:rPr>
          <w:rFonts w:eastAsia="Times New Roman"/>
          <w:sz w:val="22"/>
          <w:lang w:val="en-US"/>
        </w:rPr>
      </w:pPr>
      <w:r w:rsidRPr="00105427">
        <w:rPr>
          <w:rFonts w:eastAsia="Times New Roman"/>
          <w:sz w:val="22"/>
          <w:lang w:val="en-US"/>
        </w:rPr>
        <w:t>Harvard Semitic Museum; Israel Antiquities Authority license no. A73/98</w:t>
      </w:r>
    </w:p>
    <w:p w14:paraId="39BD5D0F" w14:textId="77777777" w:rsidR="00E73BD8" w:rsidRPr="00105427" w:rsidRDefault="00E73BD8" w:rsidP="00E73BD8">
      <w:pPr>
        <w:widowControl w:val="0"/>
        <w:tabs>
          <w:tab w:val="left" w:pos="0"/>
          <w:tab w:val="left" w:pos="3922"/>
        </w:tabs>
        <w:autoSpaceDE w:val="0"/>
        <w:autoSpaceDN w:val="0"/>
        <w:adjustRightInd w:val="0"/>
        <w:spacing w:after="0" w:line="240" w:lineRule="auto"/>
        <w:rPr>
          <w:rFonts w:eastAsia="Times New Roman"/>
          <w:sz w:val="22"/>
          <w:lang w:val="en-US"/>
        </w:rPr>
      </w:pPr>
      <w:r w:rsidRPr="00105427">
        <w:rPr>
          <w:rFonts w:eastAsia="Times New Roman"/>
          <w:sz w:val="22"/>
          <w:lang w:val="en-US"/>
        </w:rPr>
        <w:t>NAA Provenience: ?</w:t>
      </w:r>
    </w:p>
    <w:p w14:paraId="30A7D94C" w14:textId="77777777" w:rsidR="00E73BD8" w:rsidRPr="00105427" w:rsidRDefault="00E73BD8" w:rsidP="00E73BD8">
      <w:pPr>
        <w:widowControl w:val="0"/>
        <w:tabs>
          <w:tab w:val="left" w:pos="0"/>
          <w:tab w:val="left" w:pos="3922"/>
        </w:tabs>
        <w:autoSpaceDE w:val="0"/>
        <w:autoSpaceDN w:val="0"/>
        <w:adjustRightInd w:val="0"/>
        <w:spacing w:after="0" w:line="240" w:lineRule="auto"/>
        <w:rPr>
          <w:rFonts w:eastAsia="Times New Roman"/>
          <w:sz w:val="22"/>
          <w:lang w:val="en-US"/>
        </w:rPr>
      </w:pPr>
    </w:p>
    <w:p w14:paraId="32481213" w14:textId="77777777" w:rsidR="00E73BD8" w:rsidRPr="00105427" w:rsidRDefault="00E73BD8" w:rsidP="00E73BD8">
      <w:pPr>
        <w:widowControl w:val="0"/>
        <w:tabs>
          <w:tab w:val="left" w:pos="0"/>
          <w:tab w:val="left" w:pos="3922"/>
        </w:tabs>
        <w:autoSpaceDE w:val="0"/>
        <w:autoSpaceDN w:val="0"/>
        <w:adjustRightInd w:val="0"/>
        <w:spacing w:after="0" w:line="240" w:lineRule="auto"/>
        <w:rPr>
          <w:rFonts w:eastAsia="Times New Roman"/>
          <w:sz w:val="22"/>
          <w:lang w:val="en-US"/>
        </w:rPr>
      </w:pPr>
      <w:r w:rsidRPr="00105427">
        <w:rPr>
          <w:rFonts w:eastAsia="Times New Roman"/>
          <w:sz w:val="22"/>
          <w:lang w:val="en-US"/>
        </w:rPr>
        <w:t>PMG578</w:t>
      </w:r>
    </w:p>
    <w:p w14:paraId="11EA3819" w14:textId="77777777" w:rsidR="00E73BD8" w:rsidRPr="00105427" w:rsidRDefault="00E73BD8" w:rsidP="00E73BD8">
      <w:pPr>
        <w:widowControl w:val="0"/>
        <w:tabs>
          <w:tab w:val="left" w:pos="0"/>
          <w:tab w:val="left" w:pos="3922"/>
        </w:tabs>
        <w:autoSpaceDE w:val="0"/>
        <w:autoSpaceDN w:val="0"/>
        <w:adjustRightInd w:val="0"/>
        <w:spacing w:after="0" w:line="240" w:lineRule="auto"/>
        <w:rPr>
          <w:rFonts w:eastAsia="Times New Roman"/>
          <w:sz w:val="22"/>
          <w:lang w:val="en-US"/>
        </w:rPr>
      </w:pPr>
      <w:r w:rsidRPr="00105427">
        <w:rPr>
          <w:rFonts w:eastAsia="Times New Roman"/>
          <w:sz w:val="22"/>
          <w:lang w:val="en-US"/>
        </w:rPr>
        <w:t>Stamped clay bulla; MB IIA</w:t>
      </w:r>
    </w:p>
    <w:p w14:paraId="6176DEB6" w14:textId="77777777" w:rsidR="00E73BD8" w:rsidRPr="00105427" w:rsidRDefault="00E73BD8" w:rsidP="00E73BD8">
      <w:pPr>
        <w:widowControl w:val="0"/>
        <w:tabs>
          <w:tab w:val="left" w:pos="0"/>
          <w:tab w:val="left" w:pos="3922"/>
        </w:tabs>
        <w:autoSpaceDE w:val="0"/>
        <w:autoSpaceDN w:val="0"/>
        <w:adjustRightInd w:val="0"/>
        <w:spacing w:after="0" w:line="240" w:lineRule="auto"/>
        <w:rPr>
          <w:rFonts w:eastAsia="Times New Roman"/>
          <w:sz w:val="22"/>
          <w:lang w:val="en-US"/>
        </w:rPr>
      </w:pPr>
      <w:r w:rsidRPr="00105427">
        <w:rPr>
          <w:rFonts w:eastAsia="Times New Roman"/>
          <w:sz w:val="22"/>
          <w:lang w:val="en-US"/>
        </w:rPr>
        <w:t>2.56.L17.B316.MC#51627</w:t>
      </w:r>
    </w:p>
    <w:p w14:paraId="284ADED6" w14:textId="77777777" w:rsidR="00E73BD8" w:rsidRPr="00105427" w:rsidRDefault="00E73BD8" w:rsidP="00E73BD8">
      <w:pPr>
        <w:widowControl w:val="0"/>
        <w:tabs>
          <w:tab w:val="left" w:pos="0"/>
          <w:tab w:val="left" w:pos="3922"/>
        </w:tabs>
        <w:autoSpaceDE w:val="0"/>
        <w:autoSpaceDN w:val="0"/>
        <w:adjustRightInd w:val="0"/>
        <w:spacing w:after="0" w:line="240" w:lineRule="auto"/>
        <w:rPr>
          <w:rFonts w:eastAsia="Times New Roman"/>
          <w:sz w:val="22"/>
          <w:lang w:val="en-US"/>
        </w:rPr>
      </w:pPr>
      <w:r w:rsidRPr="00105427">
        <w:rPr>
          <w:rFonts w:eastAsia="Times New Roman"/>
          <w:i/>
          <w:sz w:val="22"/>
          <w:lang w:val="en-US"/>
        </w:rPr>
        <w:t>Ashkelon 6</w:t>
      </w:r>
      <w:r w:rsidRPr="00105427">
        <w:rPr>
          <w:rFonts w:eastAsia="Times New Roman"/>
          <w:sz w:val="22"/>
          <w:lang w:val="en-US"/>
        </w:rPr>
        <w:t>: catalogue no. 7 and fig.13:42</w:t>
      </w:r>
    </w:p>
    <w:p w14:paraId="5B536EBD" w14:textId="77777777" w:rsidR="00E73BD8" w:rsidRPr="00105427" w:rsidRDefault="00E73BD8" w:rsidP="00E73BD8">
      <w:pPr>
        <w:widowControl w:val="0"/>
        <w:tabs>
          <w:tab w:val="left" w:pos="0"/>
          <w:tab w:val="left" w:pos="3922"/>
        </w:tabs>
        <w:autoSpaceDE w:val="0"/>
        <w:autoSpaceDN w:val="0"/>
        <w:adjustRightInd w:val="0"/>
        <w:spacing w:after="0" w:line="240" w:lineRule="auto"/>
        <w:rPr>
          <w:rFonts w:eastAsia="Times New Roman"/>
          <w:sz w:val="22"/>
          <w:lang w:val="en-US"/>
        </w:rPr>
      </w:pPr>
      <w:r w:rsidRPr="00105427">
        <w:rPr>
          <w:rFonts w:eastAsia="Times New Roman"/>
          <w:sz w:val="22"/>
          <w:lang w:val="en-US"/>
        </w:rPr>
        <w:lastRenderedPageBreak/>
        <w:t>Harvard Semitic Museum; Israel Antiquities Authority license no. A73/98</w:t>
      </w:r>
    </w:p>
    <w:p w14:paraId="2ACC2EF0" w14:textId="77777777" w:rsidR="00E73BD8" w:rsidRPr="00105427" w:rsidRDefault="00E73BD8" w:rsidP="00E73BD8">
      <w:pPr>
        <w:widowControl w:val="0"/>
        <w:tabs>
          <w:tab w:val="left" w:pos="0"/>
          <w:tab w:val="left" w:pos="3922"/>
        </w:tabs>
        <w:autoSpaceDE w:val="0"/>
        <w:autoSpaceDN w:val="0"/>
        <w:adjustRightInd w:val="0"/>
        <w:spacing w:after="0" w:line="240" w:lineRule="auto"/>
        <w:rPr>
          <w:rFonts w:eastAsia="Times New Roman"/>
          <w:sz w:val="22"/>
          <w:lang w:val="en-US"/>
        </w:rPr>
      </w:pPr>
      <w:r w:rsidRPr="00105427">
        <w:rPr>
          <w:rFonts w:eastAsia="Times New Roman"/>
          <w:sz w:val="22"/>
          <w:lang w:val="en-US"/>
        </w:rPr>
        <w:t>NAA Provenience: Southern Palestine (probably local Ashkelon)</w:t>
      </w:r>
    </w:p>
    <w:p w14:paraId="763184B3" w14:textId="77777777" w:rsidR="00E73BD8" w:rsidRPr="00105427" w:rsidRDefault="00E73BD8" w:rsidP="00E73BD8">
      <w:pPr>
        <w:widowControl w:val="0"/>
        <w:tabs>
          <w:tab w:val="left" w:pos="0"/>
          <w:tab w:val="left" w:pos="3922"/>
        </w:tabs>
        <w:autoSpaceDE w:val="0"/>
        <w:autoSpaceDN w:val="0"/>
        <w:adjustRightInd w:val="0"/>
        <w:spacing w:after="0" w:line="240" w:lineRule="auto"/>
        <w:rPr>
          <w:rFonts w:eastAsia="Times New Roman"/>
          <w:sz w:val="22"/>
          <w:lang w:val="en-US"/>
        </w:rPr>
      </w:pPr>
    </w:p>
    <w:p w14:paraId="6410517E" w14:textId="77777777" w:rsidR="003F7D74" w:rsidRDefault="003F7D74">
      <w:pPr>
        <w:spacing w:line="259" w:lineRule="auto"/>
        <w:rPr>
          <w:rFonts w:eastAsia="Times New Roman"/>
          <w:sz w:val="22"/>
          <w:lang w:val="en-US"/>
        </w:rPr>
      </w:pPr>
      <w:bookmarkStart w:id="62" w:name="_Hlk8880136"/>
      <w:r>
        <w:rPr>
          <w:rFonts w:eastAsia="Times New Roman"/>
          <w:sz w:val="22"/>
          <w:lang w:val="en-US"/>
        </w:rPr>
        <w:br w:type="page"/>
      </w:r>
    </w:p>
    <w:p w14:paraId="64BCCD39" w14:textId="3019AD0B" w:rsidR="00E73BD8" w:rsidRPr="00105427" w:rsidRDefault="00E73BD8" w:rsidP="00E73BD8">
      <w:pPr>
        <w:widowControl w:val="0"/>
        <w:tabs>
          <w:tab w:val="left" w:pos="0"/>
          <w:tab w:val="left" w:pos="3922"/>
        </w:tabs>
        <w:autoSpaceDE w:val="0"/>
        <w:autoSpaceDN w:val="0"/>
        <w:adjustRightInd w:val="0"/>
        <w:spacing w:after="0" w:line="240" w:lineRule="auto"/>
        <w:rPr>
          <w:rFonts w:eastAsia="Times New Roman"/>
          <w:sz w:val="22"/>
          <w:lang w:val="en-US"/>
        </w:rPr>
      </w:pPr>
      <w:r w:rsidRPr="00105427">
        <w:rPr>
          <w:rFonts w:eastAsia="Times New Roman"/>
          <w:sz w:val="22"/>
          <w:lang w:val="en-US"/>
        </w:rPr>
        <w:lastRenderedPageBreak/>
        <w:t xml:space="preserve">PMG579 </w:t>
      </w:r>
    </w:p>
    <w:p w14:paraId="3A19E9D6" w14:textId="77777777" w:rsidR="00E73BD8" w:rsidRPr="00105427" w:rsidRDefault="00E73BD8" w:rsidP="00E73BD8">
      <w:pPr>
        <w:widowControl w:val="0"/>
        <w:tabs>
          <w:tab w:val="left" w:pos="0"/>
          <w:tab w:val="left" w:pos="3922"/>
        </w:tabs>
        <w:autoSpaceDE w:val="0"/>
        <w:autoSpaceDN w:val="0"/>
        <w:adjustRightInd w:val="0"/>
        <w:spacing w:after="0" w:line="240" w:lineRule="auto"/>
        <w:rPr>
          <w:rFonts w:eastAsia="Times New Roman"/>
          <w:sz w:val="22"/>
          <w:lang w:val="en-US"/>
        </w:rPr>
      </w:pPr>
      <w:r w:rsidRPr="00105427">
        <w:rPr>
          <w:rFonts w:eastAsia="Times New Roman"/>
          <w:sz w:val="22"/>
          <w:lang w:val="en-US"/>
        </w:rPr>
        <w:t>Unstamped clay bulla; MB IIA</w:t>
      </w:r>
    </w:p>
    <w:p w14:paraId="0F2C8053" w14:textId="77777777" w:rsidR="00E73BD8" w:rsidRPr="00105427" w:rsidRDefault="00E73BD8" w:rsidP="00E73BD8">
      <w:pPr>
        <w:widowControl w:val="0"/>
        <w:tabs>
          <w:tab w:val="left" w:pos="0"/>
          <w:tab w:val="left" w:pos="3922"/>
        </w:tabs>
        <w:autoSpaceDE w:val="0"/>
        <w:autoSpaceDN w:val="0"/>
        <w:adjustRightInd w:val="0"/>
        <w:spacing w:after="0" w:line="240" w:lineRule="auto"/>
        <w:rPr>
          <w:rFonts w:eastAsia="Times New Roman"/>
          <w:sz w:val="22"/>
          <w:lang w:val="en-US"/>
        </w:rPr>
      </w:pPr>
      <w:r w:rsidRPr="00105427">
        <w:rPr>
          <w:rFonts w:eastAsia="Times New Roman"/>
          <w:sz w:val="22"/>
          <w:lang w:val="en-US"/>
        </w:rPr>
        <w:t>2.56.L17.B316.probably MC#51660</w:t>
      </w:r>
    </w:p>
    <w:p w14:paraId="3943B1DD" w14:textId="77777777" w:rsidR="00E73BD8" w:rsidRPr="00105427" w:rsidRDefault="00E73BD8" w:rsidP="00E73BD8">
      <w:pPr>
        <w:widowControl w:val="0"/>
        <w:tabs>
          <w:tab w:val="left" w:pos="0"/>
          <w:tab w:val="left" w:pos="3922"/>
        </w:tabs>
        <w:autoSpaceDE w:val="0"/>
        <w:autoSpaceDN w:val="0"/>
        <w:adjustRightInd w:val="0"/>
        <w:spacing w:after="0" w:line="240" w:lineRule="auto"/>
        <w:rPr>
          <w:rFonts w:eastAsia="Times New Roman"/>
          <w:sz w:val="22"/>
          <w:lang w:val="en-US"/>
        </w:rPr>
      </w:pPr>
      <w:r w:rsidRPr="00105427">
        <w:rPr>
          <w:rFonts w:eastAsia="Times New Roman"/>
          <w:i/>
          <w:sz w:val="22"/>
          <w:lang w:val="en-US"/>
        </w:rPr>
        <w:t>Ashkelon 6</w:t>
      </w:r>
      <w:r w:rsidRPr="00105427">
        <w:rPr>
          <w:rFonts w:eastAsia="Times New Roman"/>
          <w:sz w:val="22"/>
          <w:lang w:val="en-US"/>
        </w:rPr>
        <w:t>: probably fig. 13:44</w:t>
      </w:r>
    </w:p>
    <w:p w14:paraId="750B5096" w14:textId="77777777" w:rsidR="00E73BD8" w:rsidRPr="00105427" w:rsidRDefault="00E73BD8" w:rsidP="00E73BD8">
      <w:pPr>
        <w:widowControl w:val="0"/>
        <w:tabs>
          <w:tab w:val="left" w:pos="0"/>
          <w:tab w:val="left" w:pos="204"/>
        </w:tabs>
        <w:autoSpaceDE w:val="0"/>
        <w:autoSpaceDN w:val="0"/>
        <w:adjustRightInd w:val="0"/>
        <w:spacing w:after="0" w:line="240" w:lineRule="auto"/>
        <w:rPr>
          <w:rFonts w:eastAsia="Times New Roman"/>
          <w:sz w:val="22"/>
          <w:lang w:val="en-US"/>
        </w:rPr>
      </w:pPr>
      <w:r w:rsidRPr="00105427">
        <w:rPr>
          <w:rFonts w:eastAsia="Times New Roman"/>
          <w:sz w:val="22"/>
          <w:lang w:val="en-US"/>
        </w:rPr>
        <w:t>Harvard Semitic Museum; Israel Antiquities Authority license no. A73/98</w:t>
      </w:r>
    </w:p>
    <w:p w14:paraId="4E1F7A82" w14:textId="77777777" w:rsidR="00E73BD8" w:rsidRPr="00105427" w:rsidRDefault="00E73BD8" w:rsidP="00E73BD8">
      <w:pPr>
        <w:widowControl w:val="0"/>
        <w:tabs>
          <w:tab w:val="left" w:pos="0"/>
          <w:tab w:val="left" w:pos="204"/>
        </w:tabs>
        <w:autoSpaceDE w:val="0"/>
        <w:autoSpaceDN w:val="0"/>
        <w:adjustRightInd w:val="0"/>
        <w:spacing w:after="0" w:line="240" w:lineRule="auto"/>
        <w:rPr>
          <w:rFonts w:eastAsia="Times New Roman"/>
          <w:sz w:val="22"/>
          <w:lang w:val="en-US"/>
        </w:rPr>
      </w:pPr>
      <w:r w:rsidRPr="00105427">
        <w:rPr>
          <w:rFonts w:eastAsia="Times New Roman"/>
          <w:sz w:val="22"/>
          <w:lang w:val="en-US"/>
        </w:rPr>
        <w:t>NAA Provenience: Southern Palestine</w:t>
      </w:r>
    </w:p>
    <w:p w14:paraId="28ABBC59" w14:textId="77777777" w:rsidR="00E73BD8" w:rsidRPr="00105427" w:rsidRDefault="00E73BD8" w:rsidP="00E73BD8">
      <w:pPr>
        <w:widowControl w:val="0"/>
        <w:tabs>
          <w:tab w:val="left" w:pos="0"/>
          <w:tab w:val="left" w:pos="204"/>
        </w:tabs>
        <w:autoSpaceDE w:val="0"/>
        <w:autoSpaceDN w:val="0"/>
        <w:adjustRightInd w:val="0"/>
        <w:spacing w:after="0" w:line="240" w:lineRule="auto"/>
        <w:rPr>
          <w:rFonts w:eastAsia="Times New Roman"/>
          <w:sz w:val="22"/>
          <w:lang w:val="en-US"/>
        </w:rPr>
      </w:pPr>
    </w:p>
    <w:p w14:paraId="5F65641E" w14:textId="77777777" w:rsidR="00E73BD8" w:rsidRPr="00105427" w:rsidRDefault="00E73BD8" w:rsidP="00E73BD8">
      <w:pPr>
        <w:widowControl w:val="0"/>
        <w:tabs>
          <w:tab w:val="left" w:pos="0"/>
          <w:tab w:val="left" w:pos="204"/>
        </w:tabs>
        <w:autoSpaceDE w:val="0"/>
        <w:autoSpaceDN w:val="0"/>
        <w:adjustRightInd w:val="0"/>
        <w:spacing w:after="0" w:line="240" w:lineRule="auto"/>
        <w:rPr>
          <w:rFonts w:eastAsia="Times New Roman"/>
          <w:sz w:val="22"/>
          <w:lang w:val="en-US"/>
        </w:rPr>
      </w:pPr>
      <w:r w:rsidRPr="00105427">
        <w:rPr>
          <w:rFonts w:eastAsia="Times New Roman"/>
          <w:sz w:val="22"/>
          <w:lang w:val="en-US"/>
        </w:rPr>
        <w:t>PMG580</w:t>
      </w:r>
    </w:p>
    <w:p w14:paraId="4FBEBF2B" w14:textId="77777777" w:rsidR="00E73BD8" w:rsidRPr="00105427" w:rsidRDefault="00E73BD8" w:rsidP="00E73BD8">
      <w:pPr>
        <w:widowControl w:val="0"/>
        <w:tabs>
          <w:tab w:val="left" w:pos="0"/>
          <w:tab w:val="left" w:pos="204"/>
        </w:tabs>
        <w:autoSpaceDE w:val="0"/>
        <w:autoSpaceDN w:val="0"/>
        <w:adjustRightInd w:val="0"/>
        <w:spacing w:after="0" w:line="240" w:lineRule="auto"/>
        <w:rPr>
          <w:rFonts w:eastAsia="Times New Roman"/>
          <w:sz w:val="22"/>
          <w:lang w:val="en-US"/>
        </w:rPr>
      </w:pPr>
      <w:r w:rsidRPr="00105427">
        <w:rPr>
          <w:rFonts w:eastAsia="Times New Roman"/>
          <w:sz w:val="22"/>
          <w:lang w:val="en-US"/>
        </w:rPr>
        <w:t>Unstamped clay bulla; MB IIA</w:t>
      </w:r>
    </w:p>
    <w:p w14:paraId="63B8C084" w14:textId="77777777" w:rsidR="00E73BD8" w:rsidRPr="00105427" w:rsidRDefault="00E73BD8" w:rsidP="00E73BD8">
      <w:pPr>
        <w:widowControl w:val="0"/>
        <w:tabs>
          <w:tab w:val="left" w:pos="0"/>
          <w:tab w:val="left" w:pos="204"/>
        </w:tabs>
        <w:autoSpaceDE w:val="0"/>
        <w:autoSpaceDN w:val="0"/>
        <w:adjustRightInd w:val="0"/>
        <w:spacing w:after="0" w:line="240" w:lineRule="auto"/>
        <w:rPr>
          <w:rFonts w:eastAsia="Times New Roman"/>
          <w:sz w:val="22"/>
          <w:lang w:val="en-US"/>
        </w:rPr>
      </w:pPr>
      <w:r w:rsidRPr="00105427">
        <w:rPr>
          <w:rFonts w:eastAsia="Times New Roman"/>
          <w:sz w:val="22"/>
          <w:lang w:val="en-US"/>
        </w:rPr>
        <w:t>2.56.L17.B343.MC#51667</w:t>
      </w:r>
    </w:p>
    <w:p w14:paraId="41BE775F" w14:textId="77777777" w:rsidR="00E73BD8" w:rsidRPr="00105427" w:rsidRDefault="00E73BD8" w:rsidP="00E73BD8">
      <w:pPr>
        <w:widowControl w:val="0"/>
        <w:tabs>
          <w:tab w:val="left" w:pos="0"/>
          <w:tab w:val="left" w:pos="204"/>
        </w:tabs>
        <w:autoSpaceDE w:val="0"/>
        <w:autoSpaceDN w:val="0"/>
        <w:adjustRightInd w:val="0"/>
        <w:spacing w:after="0" w:line="240" w:lineRule="auto"/>
        <w:rPr>
          <w:rFonts w:eastAsia="Times New Roman"/>
          <w:sz w:val="22"/>
          <w:lang w:val="en-US"/>
        </w:rPr>
      </w:pPr>
      <w:r w:rsidRPr="00105427">
        <w:rPr>
          <w:rFonts w:eastAsia="Times New Roman"/>
          <w:i/>
          <w:sz w:val="22"/>
          <w:lang w:val="en-US"/>
        </w:rPr>
        <w:t>Ashkelon 6</w:t>
      </w:r>
      <w:r w:rsidRPr="00105427">
        <w:rPr>
          <w:rFonts w:eastAsia="Times New Roman"/>
          <w:sz w:val="22"/>
          <w:lang w:val="en-US"/>
        </w:rPr>
        <w:t>: cf. catalogue no. 21 and fig. 13.42</w:t>
      </w:r>
    </w:p>
    <w:p w14:paraId="42F6552C" w14:textId="77777777" w:rsidR="00E73BD8" w:rsidRPr="00105427" w:rsidRDefault="00E73BD8" w:rsidP="00E73BD8">
      <w:pPr>
        <w:widowControl w:val="0"/>
        <w:tabs>
          <w:tab w:val="left" w:pos="0"/>
          <w:tab w:val="left" w:pos="204"/>
        </w:tabs>
        <w:autoSpaceDE w:val="0"/>
        <w:autoSpaceDN w:val="0"/>
        <w:adjustRightInd w:val="0"/>
        <w:spacing w:after="0" w:line="240" w:lineRule="auto"/>
        <w:rPr>
          <w:rFonts w:eastAsia="Times New Roman"/>
          <w:sz w:val="22"/>
          <w:lang w:val="en-US"/>
        </w:rPr>
      </w:pPr>
      <w:r w:rsidRPr="00105427">
        <w:rPr>
          <w:rFonts w:eastAsia="Times New Roman"/>
          <w:sz w:val="22"/>
          <w:lang w:val="en-US"/>
        </w:rPr>
        <w:t>Harvard Semitic Museum; Israel Antiquities Authority license no. A73/98</w:t>
      </w:r>
    </w:p>
    <w:p w14:paraId="7F2E54C5" w14:textId="77777777" w:rsidR="00E73BD8" w:rsidRPr="00105427" w:rsidRDefault="00E73BD8" w:rsidP="00E73BD8">
      <w:pPr>
        <w:widowControl w:val="0"/>
        <w:tabs>
          <w:tab w:val="left" w:pos="0"/>
          <w:tab w:val="left" w:pos="204"/>
        </w:tabs>
        <w:autoSpaceDE w:val="0"/>
        <w:autoSpaceDN w:val="0"/>
        <w:adjustRightInd w:val="0"/>
        <w:spacing w:after="0" w:line="240" w:lineRule="auto"/>
        <w:rPr>
          <w:rFonts w:eastAsia="Times New Roman"/>
          <w:sz w:val="22"/>
          <w:lang w:val="en-US"/>
        </w:rPr>
      </w:pPr>
      <w:r w:rsidRPr="00105427">
        <w:rPr>
          <w:rFonts w:eastAsia="Times New Roman"/>
          <w:sz w:val="22"/>
          <w:lang w:val="en-US"/>
        </w:rPr>
        <w:t>NAA Provenience: ?</w:t>
      </w:r>
      <w:bookmarkEnd w:id="62"/>
    </w:p>
    <w:bookmarkEnd w:id="57"/>
    <w:p w14:paraId="2F76F6F7" w14:textId="77777777" w:rsidR="00E73BD8" w:rsidRPr="00105427" w:rsidRDefault="00E73BD8" w:rsidP="00E73BD8">
      <w:pPr>
        <w:widowControl w:val="0"/>
        <w:tabs>
          <w:tab w:val="left" w:pos="0"/>
          <w:tab w:val="left" w:pos="204"/>
        </w:tabs>
        <w:autoSpaceDE w:val="0"/>
        <w:autoSpaceDN w:val="0"/>
        <w:adjustRightInd w:val="0"/>
        <w:spacing w:after="0" w:line="240" w:lineRule="auto"/>
        <w:rPr>
          <w:rFonts w:eastAsia="Times New Roman"/>
          <w:sz w:val="22"/>
          <w:lang w:val="en-US"/>
        </w:rPr>
      </w:pPr>
    </w:p>
    <w:p w14:paraId="01ED1CB4" w14:textId="77777777" w:rsidR="00E73BD8" w:rsidRDefault="00E73BD8" w:rsidP="00E73BD8">
      <w:pPr>
        <w:spacing w:line="259" w:lineRule="auto"/>
        <w:rPr>
          <w:rFonts w:eastAsiaTheme="minorEastAsia"/>
          <w:b/>
          <w:szCs w:val="20"/>
          <w:lang w:val="en-CA"/>
        </w:rPr>
      </w:pPr>
      <w:r>
        <w:rPr>
          <w:rFonts w:eastAsiaTheme="minorEastAsia"/>
          <w:b/>
          <w:szCs w:val="20"/>
          <w:lang w:val="en-CA"/>
        </w:rPr>
        <w:t xml:space="preserve"> </w:t>
      </w:r>
      <w:r>
        <w:rPr>
          <w:rFonts w:eastAsiaTheme="minorEastAsia"/>
          <w:b/>
          <w:szCs w:val="20"/>
          <w:lang w:val="en-CA"/>
        </w:rPr>
        <w:br w:type="page"/>
      </w:r>
    </w:p>
    <w:p w14:paraId="5DEEB0E4" w14:textId="77777777" w:rsidR="00F05ABB" w:rsidRDefault="00F05ABB" w:rsidP="00E73BD8">
      <w:pPr>
        <w:widowControl w:val="0"/>
        <w:spacing w:after="200" w:line="240" w:lineRule="auto"/>
        <w:jc w:val="center"/>
        <w:rPr>
          <w:rFonts w:eastAsiaTheme="minorHAnsi"/>
          <w:b/>
          <w:sz w:val="22"/>
          <w:lang w:val="en-US"/>
        </w:rPr>
        <w:sectPr w:rsidR="00F05ABB" w:rsidSect="00851A3E">
          <w:headerReference w:type="default" r:id="rId12"/>
          <w:pgSz w:w="11904" w:h="16836"/>
          <w:pgMar w:top="1080" w:right="864" w:bottom="1080" w:left="864" w:header="1440" w:footer="1440" w:gutter="0"/>
          <w:cols w:space="720"/>
          <w:titlePg/>
          <w:docGrid w:linePitch="326"/>
        </w:sectPr>
      </w:pPr>
    </w:p>
    <w:p w14:paraId="0072D6FF" w14:textId="50AB7D31" w:rsidR="00E73BD8" w:rsidRPr="00105427" w:rsidRDefault="00E73BD8" w:rsidP="00E73BD8">
      <w:pPr>
        <w:widowControl w:val="0"/>
        <w:spacing w:after="200" w:line="240" w:lineRule="auto"/>
        <w:jc w:val="center"/>
        <w:rPr>
          <w:rFonts w:eastAsiaTheme="minorHAnsi"/>
          <w:sz w:val="22"/>
          <w:lang w:val="en-US"/>
        </w:rPr>
      </w:pPr>
      <w:r w:rsidRPr="00105427">
        <w:rPr>
          <w:rFonts w:eastAsiaTheme="minorHAnsi"/>
          <w:b/>
          <w:sz w:val="22"/>
          <w:lang w:val="en-US"/>
        </w:rPr>
        <w:lastRenderedPageBreak/>
        <w:t>Table 48: Comparison of 1997 and 2004 Petrographic Assignments Versus 2000 NAA Results</w:t>
      </w:r>
      <w:r w:rsidRPr="00105427">
        <w:rPr>
          <w:rFonts w:eastAsiaTheme="minorHAnsi"/>
          <w:sz w:val="18"/>
          <w:szCs w:val="18"/>
          <w:vertAlign w:val="superscript"/>
          <w:lang w:val="en-US"/>
        </w:rPr>
        <w:footnoteReference w:id="47"/>
      </w:r>
    </w:p>
    <w:tbl>
      <w:tblPr>
        <w:tblW w:w="14481" w:type="dxa"/>
        <w:tblInd w:w="4" w:type="dxa"/>
        <w:tblLayout w:type="fixed"/>
        <w:tblCellMar>
          <w:left w:w="0" w:type="dxa"/>
          <w:right w:w="0" w:type="dxa"/>
        </w:tblCellMar>
        <w:tblLook w:val="01E0" w:firstRow="1" w:lastRow="1" w:firstColumn="1" w:lastColumn="1" w:noHBand="0" w:noVBand="0"/>
      </w:tblPr>
      <w:tblGrid>
        <w:gridCol w:w="1633"/>
        <w:gridCol w:w="2408"/>
        <w:gridCol w:w="2524"/>
        <w:gridCol w:w="1256"/>
        <w:gridCol w:w="3690"/>
        <w:gridCol w:w="1530"/>
        <w:gridCol w:w="1440"/>
      </w:tblGrid>
      <w:tr w:rsidR="00E73BD8" w:rsidRPr="00250E94" w14:paraId="4FA9B5CE" w14:textId="77777777" w:rsidTr="00B27F75">
        <w:trPr>
          <w:trHeight w:hRule="exact" w:val="922"/>
          <w:tblHeader/>
        </w:trPr>
        <w:tc>
          <w:tcPr>
            <w:tcW w:w="1633" w:type="dxa"/>
            <w:tcBorders>
              <w:top w:val="single" w:sz="4" w:space="0" w:color="auto"/>
              <w:left w:val="single" w:sz="4" w:space="0" w:color="auto"/>
              <w:bottom w:val="single" w:sz="6" w:space="0" w:color="000000"/>
              <w:right w:val="single" w:sz="4" w:space="0" w:color="auto"/>
            </w:tcBorders>
            <w:vAlign w:val="center"/>
          </w:tcPr>
          <w:p w14:paraId="50AEB18E" w14:textId="77777777" w:rsidR="00E73BD8" w:rsidRPr="00250E94" w:rsidRDefault="00E73BD8" w:rsidP="00B27F75">
            <w:pPr>
              <w:widowControl w:val="0"/>
              <w:spacing w:after="200" w:line="240" w:lineRule="auto"/>
              <w:jc w:val="center"/>
              <w:rPr>
                <w:rFonts w:eastAsiaTheme="minorHAnsi"/>
                <w:b/>
                <w:sz w:val="20"/>
                <w:szCs w:val="20"/>
                <w:lang w:val="en-US"/>
              </w:rPr>
            </w:pPr>
          </w:p>
          <w:p w14:paraId="58DE78E8" w14:textId="77777777" w:rsidR="00E73BD8" w:rsidRPr="00250E94" w:rsidRDefault="00E73BD8" w:rsidP="00B27F75">
            <w:pPr>
              <w:widowControl w:val="0"/>
              <w:spacing w:after="200" w:line="240" w:lineRule="auto"/>
              <w:jc w:val="center"/>
              <w:rPr>
                <w:rFonts w:eastAsiaTheme="minorHAnsi"/>
                <w:b/>
                <w:sz w:val="20"/>
                <w:szCs w:val="20"/>
                <w:lang w:val="en-US"/>
              </w:rPr>
            </w:pPr>
            <w:r w:rsidRPr="00250E94">
              <w:rPr>
                <w:rFonts w:eastAsiaTheme="minorHAnsi"/>
                <w:b/>
                <w:sz w:val="20"/>
                <w:szCs w:val="20"/>
                <w:lang w:val="en-US"/>
              </w:rPr>
              <w:t>Registration no., NAA no.</w:t>
            </w:r>
          </w:p>
        </w:tc>
        <w:tc>
          <w:tcPr>
            <w:tcW w:w="2408" w:type="dxa"/>
            <w:tcBorders>
              <w:top w:val="single" w:sz="4" w:space="0" w:color="auto"/>
              <w:left w:val="single" w:sz="4" w:space="0" w:color="auto"/>
              <w:bottom w:val="single" w:sz="6" w:space="0" w:color="000000"/>
              <w:right w:val="single" w:sz="4" w:space="0" w:color="auto"/>
            </w:tcBorders>
            <w:vAlign w:val="center"/>
          </w:tcPr>
          <w:p w14:paraId="69D151B1" w14:textId="77777777" w:rsidR="00E73BD8" w:rsidRPr="00250E94" w:rsidRDefault="00E73BD8" w:rsidP="00B27F75">
            <w:pPr>
              <w:widowControl w:val="0"/>
              <w:spacing w:after="200" w:line="240" w:lineRule="auto"/>
              <w:jc w:val="center"/>
              <w:rPr>
                <w:rFonts w:eastAsiaTheme="minorHAnsi"/>
                <w:b/>
                <w:sz w:val="20"/>
                <w:szCs w:val="20"/>
                <w:lang w:val="en-US"/>
              </w:rPr>
            </w:pPr>
          </w:p>
          <w:p w14:paraId="1E37E558" w14:textId="77777777" w:rsidR="00E73BD8" w:rsidRPr="00250E94" w:rsidRDefault="00E73BD8" w:rsidP="00B27F75">
            <w:pPr>
              <w:widowControl w:val="0"/>
              <w:spacing w:after="200" w:line="240" w:lineRule="auto"/>
              <w:jc w:val="center"/>
              <w:rPr>
                <w:rFonts w:eastAsiaTheme="minorHAnsi"/>
                <w:b/>
                <w:sz w:val="20"/>
                <w:szCs w:val="20"/>
                <w:lang w:val="en-US"/>
              </w:rPr>
            </w:pPr>
            <w:r w:rsidRPr="00250E94">
              <w:rPr>
                <w:rFonts w:eastAsiaTheme="minorHAnsi"/>
                <w:b/>
                <w:sz w:val="20"/>
                <w:szCs w:val="20"/>
                <w:lang w:val="en-US"/>
              </w:rPr>
              <w:t>2000 NAA Assignment</w:t>
            </w:r>
          </w:p>
          <w:p w14:paraId="616625FA" w14:textId="77777777" w:rsidR="00E73BD8" w:rsidRPr="00250E94" w:rsidRDefault="00E73BD8" w:rsidP="00B27F75">
            <w:pPr>
              <w:widowControl w:val="0"/>
              <w:spacing w:after="200" w:line="240" w:lineRule="auto"/>
              <w:jc w:val="center"/>
              <w:rPr>
                <w:rFonts w:eastAsiaTheme="minorHAnsi"/>
                <w:b/>
                <w:sz w:val="20"/>
                <w:szCs w:val="20"/>
                <w:lang w:val="en-US"/>
              </w:rPr>
            </w:pPr>
          </w:p>
        </w:tc>
        <w:tc>
          <w:tcPr>
            <w:tcW w:w="2524" w:type="dxa"/>
            <w:tcBorders>
              <w:top w:val="single" w:sz="4" w:space="0" w:color="auto"/>
              <w:left w:val="single" w:sz="4" w:space="0" w:color="auto"/>
              <w:bottom w:val="single" w:sz="6" w:space="0" w:color="000000"/>
              <w:right w:val="single" w:sz="4" w:space="0" w:color="auto"/>
            </w:tcBorders>
            <w:vAlign w:val="center"/>
          </w:tcPr>
          <w:p w14:paraId="26CBCCD3" w14:textId="77777777" w:rsidR="00E73BD8" w:rsidRPr="00250E94" w:rsidRDefault="00E73BD8" w:rsidP="00B27F75">
            <w:pPr>
              <w:widowControl w:val="0"/>
              <w:spacing w:after="200" w:line="240" w:lineRule="auto"/>
              <w:jc w:val="center"/>
              <w:rPr>
                <w:rFonts w:eastAsiaTheme="minorHAnsi"/>
                <w:b/>
                <w:sz w:val="20"/>
                <w:szCs w:val="20"/>
                <w:lang w:val="en-US"/>
              </w:rPr>
            </w:pPr>
          </w:p>
          <w:p w14:paraId="737D8ECB" w14:textId="77777777" w:rsidR="00E73BD8" w:rsidRPr="00250E94" w:rsidRDefault="00E73BD8" w:rsidP="00B27F75">
            <w:pPr>
              <w:widowControl w:val="0"/>
              <w:spacing w:after="200" w:line="240" w:lineRule="auto"/>
              <w:jc w:val="center"/>
              <w:rPr>
                <w:rFonts w:eastAsiaTheme="minorHAnsi"/>
                <w:b/>
                <w:sz w:val="20"/>
                <w:szCs w:val="20"/>
                <w:lang w:val="en-US"/>
              </w:rPr>
            </w:pPr>
            <w:r w:rsidRPr="00250E94">
              <w:rPr>
                <w:rFonts w:eastAsiaTheme="minorHAnsi"/>
                <w:b/>
                <w:sz w:val="20"/>
                <w:szCs w:val="20"/>
                <w:lang w:val="en-US"/>
              </w:rPr>
              <w:t>1997 Petrographic Assignment</w:t>
            </w:r>
          </w:p>
        </w:tc>
        <w:tc>
          <w:tcPr>
            <w:tcW w:w="1256" w:type="dxa"/>
            <w:tcBorders>
              <w:top w:val="single" w:sz="4" w:space="0" w:color="auto"/>
              <w:left w:val="single" w:sz="4" w:space="0" w:color="auto"/>
              <w:bottom w:val="single" w:sz="6" w:space="0" w:color="000000"/>
              <w:right w:val="single" w:sz="4" w:space="0" w:color="auto"/>
            </w:tcBorders>
            <w:vAlign w:val="center"/>
          </w:tcPr>
          <w:p w14:paraId="32DC0146" w14:textId="77777777" w:rsidR="00E73BD8" w:rsidRPr="00250E94" w:rsidRDefault="00E73BD8" w:rsidP="00B27F75">
            <w:pPr>
              <w:widowControl w:val="0"/>
              <w:spacing w:after="0" w:line="240" w:lineRule="auto"/>
              <w:jc w:val="center"/>
              <w:rPr>
                <w:rFonts w:eastAsiaTheme="minorHAnsi"/>
                <w:b/>
                <w:sz w:val="20"/>
                <w:szCs w:val="20"/>
                <w:lang w:val="en-US"/>
              </w:rPr>
            </w:pPr>
            <w:r w:rsidRPr="00250E94">
              <w:rPr>
                <w:rFonts w:eastAsiaTheme="minorHAnsi"/>
                <w:b/>
                <w:sz w:val="20"/>
                <w:szCs w:val="20"/>
                <w:lang w:val="en-US"/>
              </w:rPr>
              <w:t>Comparison of</w:t>
            </w:r>
          </w:p>
          <w:p w14:paraId="3D29BA43" w14:textId="77777777" w:rsidR="00E73BD8" w:rsidRPr="00250E94" w:rsidRDefault="00E73BD8" w:rsidP="00B27F75">
            <w:pPr>
              <w:widowControl w:val="0"/>
              <w:spacing w:after="0" w:line="240" w:lineRule="auto"/>
              <w:jc w:val="center"/>
              <w:rPr>
                <w:rFonts w:eastAsiaTheme="minorHAnsi"/>
                <w:b/>
                <w:sz w:val="20"/>
                <w:szCs w:val="20"/>
                <w:lang w:val="en-US"/>
              </w:rPr>
            </w:pPr>
            <w:r w:rsidRPr="00250E94">
              <w:rPr>
                <w:rFonts w:eastAsiaTheme="minorHAnsi"/>
                <w:b/>
                <w:sz w:val="20"/>
                <w:szCs w:val="20"/>
                <w:lang w:val="en-US"/>
              </w:rPr>
              <w:t>1997 and NAA Results</w:t>
            </w:r>
          </w:p>
        </w:tc>
        <w:tc>
          <w:tcPr>
            <w:tcW w:w="3690" w:type="dxa"/>
            <w:tcBorders>
              <w:top w:val="single" w:sz="4" w:space="0" w:color="auto"/>
              <w:left w:val="single" w:sz="4" w:space="0" w:color="auto"/>
              <w:bottom w:val="single" w:sz="6" w:space="0" w:color="000000"/>
              <w:right w:val="single" w:sz="4" w:space="0" w:color="auto"/>
            </w:tcBorders>
            <w:vAlign w:val="center"/>
          </w:tcPr>
          <w:p w14:paraId="04DB8265" w14:textId="77777777" w:rsidR="00E73BD8" w:rsidRPr="00250E94" w:rsidRDefault="00E73BD8" w:rsidP="00B27F75">
            <w:pPr>
              <w:widowControl w:val="0"/>
              <w:spacing w:after="200" w:line="240" w:lineRule="auto"/>
              <w:jc w:val="center"/>
              <w:rPr>
                <w:rFonts w:eastAsiaTheme="minorHAnsi"/>
                <w:b/>
                <w:sz w:val="20"/>
                <w:szCs w:val="20"/>
                <w:lang w:val="en-US"/>
              </w:rPr>
            </w:pPr>
          </w:p>
          <w:p w14:paraId="74261F4D" w14:textId="77777777" w:rsidR="00E73BD8" w:rsidRPr="00250E94" w:rsidRDefault="00E73BD8" w:rsidP="00B27F75">
            <w:pPr>
              <w:widowControl w:val="0"/>
              <w:spacing w:after="200" w:line="240" w:lineRule="auto"/>
              <w:jc w:val="center"/>
              <w:rPr>
                <w:rFonts w:eastAsiaTheme="minorHAnsi"/>
                <w:b/>
                <w:sz w:val="20"/>
                <w:szCs w:val="20"/>
                <w:lang w:val="en-US"/>
              </w:rPr>
            </w:pPr>
            <w:r w:rsidRPr="00250E94">
              <w:rPr>
                <w:rFonts w:eastAsiaTheme="minorHAnsi"/>
                <w:b/>
                <w:sz w:val="20"/>
                <w:szCs w:val="20"/>
                <w:lang w:val="en-US"/>
              </w:rPr>
              <w:t>2004 Petrographic Assignment</w:t>
            </w:r>
          </w:p>
        </w:tc>
        <w:tc>
          <w:tcPr>
            <w:tcW w:w="1530" w:type="dxa"/>
            <w:tcBorders>
              <w:top w:val="single" w:sz="4" w:space="0" w:color="auto"/>
              <w:left w:val="single" w:sz="4" w:space="0" w:color="auto"/>
              <w:bottom w:val="single" w:sz="6" w:space="0" w:color="000000"/>
              <w:right w:val="single" w:sz="4" w:space="0" w:color="auto"/>
            </w:tcBorders>
            <w:vAlign w:val="center"/>
          </w:tcPr>
          <w:p w14:paraId="758BB92B" w14:textId="77777777" w:rsidR="00E73BD8" w:rsidRPr="00250E94" w:rsidRDefault="00E73BD8" w:rsidP="00B27F75">
            <w:pPr>
              <w:widowControl w:val="0"/>
              <w:spacing w:after="0" w:line="240" w:lineRule="auto"/>
              <w:jc w:val="center"/>
              <w:rPr>
                <w:rFonts w:eastAsiaTheme="minorHAnsi"/>
                <w:b/>
                <w:sz w:val="20"/>
                <w:szCs w:val="20"/>
                <w:lang w:val="en-US"/>
              </w:rPr>
            </w:pPr>
            <w:r w:rsidRPr="00250E94">
              <w:rPr>
                <w:rFonts w:eastAsiaTheme="minorHAnsi"/>
                <w:b/>
                <w:sz w:val="20"/>
                <w:szCs w:val="20"/>
                <w:lang w:val="en-US"/>
              </w:rPr>
              <w:t>Comparison of</w:t>
            </w:r>
          </w:p>
          <w:p w14:paraId="0C4B8B8E" w14:textId="77777777" w:rsidR="00E73BD8" w:rsidRPr="00250E94" w:rsidRDefault="00E73BD8" w:rsidP="00B27F75">
            <w:pPr>
              <w:widowControl w:val="0"/>
              <w:spacing w:after="0" w:line="240" w:lineRule="auto"/>
              <w:jc w:val="center"/>
              <w:rPr>
                <w:rFonts w:eastAsiaTheme="minorHAnsi"/>
                <w:b/>
                <w:sz w:val="20"/>
                <w:szCs w:val="20"/>
                <w:lang w:val="en-US"/>
              </w:rPr>
            </w:pPr>
            <w:r w:rsidRPr="00250E94">
              <w:rPr>
                <w:rFonts w:eastAsiaTheme="minorHAnsi"/>
                <w:b/>
                <w:sz w:val="20"/>
                <w:szCs w:val="20"/>
                <w:lang w:val="en-US"/>
              </w:rPr>
              <w:t>2004 and NAA Results</w:t>
            </w:r>
          </w:p>
        </w:tc>
        <w:tc>
          <w:tcPr>
            <w:tcW w:w="1440" w:type="dxa"/>
            <w:tcBorders>
              <w:top w:val="single" w:sz="4" w:space="0" w:color="auto"/>
              <w:left w:val="single" w:sz="4" w:space="0" w:color="auto"/>
              <w:bottom w:val="single" w:sz="6" w:space="0" w:color="000000"/>
              <w:right w:val="single" w:sz="4" w:space="0" w:color="auto"/>
            </w:tcBorders>
            <w:vAlign w:val="center"/>
          </w:tcPr>
          <w:p w14:paraId="49356D79" w14:textId="77777777" w:rsidR="00E73BD8" w:rsidRPr="00250E94" w:rsidRDefault="00E73BD8" w:rsidP="00B27F75">
            <w:pPr>
              <w:widowControl w:val="0"/>
              <w:spacing w:after="0" w:line="240" w:lineRule="auto"/>
              <w:jc w:val="center"/>
              <w:rPr>
                <w:rFonts w:eastAsiaTheme="minorHAnsi"/>
                <w:b/>
                <w:sz w:val="20"/>
                <w:szCs w:val="20"/>
                <w:lang w:val="en-US"/>
              </w:rPr>
            </w:pPr>
            <w:r w:rsidRPr="00250E94">
              <w:rPr>
                <w:rFonts w:eastAsiaTheme="minorHAnsi"/>
                <w:b/>
                <w:sz w:val="20"/>
                <w:szCs w:val="20"/>
                <w:lang w:val="en-US"/>
              </w:rPr>
              <w:t>Comparison of</w:t>
            </w:r>
          </w:p>
          <w:p w14:paraId="21B59F37" w14:textId="77777777" w:rsidR="00E73BD8" w:rsidRPr="00250E94" w:rsidRDefault="00E73BD8" w:rsidP="00B27F75">
            <w:pPr>
              <w:widowControl w:val="0"/>
              <w:spacing w:after="0" w:line="240" w:lineRule="auto"/>
              <w:jc w:val="center"/>
              <w:rPr>
                <w:rFonts w:eastAsiaTheme="minorHAnsi"/>
                <w:sz w:val="20"/>
                <w:szCs w:val="20"/>
                <w:lang w:val="en-US"/>
              </w:rPr>
            </w:pPr>
            <w:r w:rsidRPr="00250E94">
              <w:rPr>
                <w:rFonts w:eastAsiaTheme="minorHAnsi"/>
                <w:b/>
                <w:sz w:val="20"/>
                <w:szCs w:val="20"/>
                <w:lang w:val="en-US"/>
              </w:rPr>
              <w:t>2004 and 1997 Petrographic Results</w:t>
            </w:r>
          </w:p>
        </w:tc>
      </w:tr>
      <w:tr w:rsidR="00E73BD8" w:rsidRPr="00250E94" w14:paraId="598972A5" w14:textId="77777777" w:rsidTr="00B27F75">
        <w:trPr>
          <w:trHeight w:hRule="exact" w:val="537"/>
        </w:trPr>
        <w:tc>
          <w:tcPr>
            <w:tcW w:w="1633" w:type="dxa"/>
            <w:tcBorders>
              <w:top w:val="single" w:sz="6" w:space="0" w:color="000000"/>
              <w:left w:val="single" w:sz="4" w:space="0" w:color="auto"/>
              <w:bottom w:val="single" w:sz="4" w:space="0" w:color="000000"/>
              <w:right w:val="single" w:sz="4" w:space="0" w:color="auto"/>
            </w:tcBorders>
          </w:tcPr>
          <w:p w14:paraId="3CB07BD9" w14:textId="77777777" w:rsidR="00E73BD8" w:rsidRPr="00250E94" w:rsidRDefault="00E73BD8" w:rsidP="00B27F75">
            <w:pPr>
              <w:widowControl w:val="0"/>
              <w:spacing w:after="200" w:line="240" w:lineRule="auto"/>
              <w:rPr>
                <w:rFonts w:eastAsiaTheme="minorHAnsi"/>
                <w:sz w:val="20"/>
                <w:szCs w:val="20"/>
                <w:lang w:val="en-US"/>
              </w:rPr>
            </w:pPr>
            <w:r w:rsidRPr="00250E94">
              <w:rPr>
                <w:rFonts w:eastAsiaTheme="minorHAnsi"/>
                <w:sz w:val="20"/>
                <w:szCs w:val="20"/>
                <w:lang w:val="en-US"/>
              </w:rPr>
              <w:t>2497E, JH073</w:t>
            </w:r>
          </w:p>
        </w:tc>
        <w:tc>
          <w:tcPr>
            <w:tcW w:w="2408" w:type="dxa"/>
            <w:tcBorders>
              <w:top w:val="single" w:sz="6" w:space="0" w:color="000000"/>
              <w:left w:val="single" w:sz="4" w:space="0" w:color="auto"/>
              <w:bottom w:val="single" w:sz="4" w:space="0" w:color="000000"/>
              <w:right w:val="single" w:sz="4" w:space="0" w:color="auto"/>
            </w:tcBorders>
          </w:tcPr>
          <w:p w14:paraId="598C0FC5" w14:textId="77777777" w:rsidR="00E73BD8" w:rsidRPr="00250E94" w:rsidRDefault="00E73BD8" w:rsidP="00B27F75">
            <w:pPr>
              <w:widowControl w:val="0"/>
              <w:spacing w:after="200" w:line="240" w:lineRule="auto"/>
              <w:rPr>
                <w:rFonts w:eastAsiaTheme="minorHAnsi"/>
                <w:sz w:val="20"/>
                <w:szCs w:val="20"/>
                <w:lang w:val="en-US"/>
              </w:rPr>
            </w:pPr>
            <w:r w:rsidRPr="00250E94">
              <w:rPr>
                <w:rFonts w:eastAsiaTheme="minorHAnsi"/>
                <w:sz w:val="20"/>
                <w:szCs w:val="20"/>
                <w:lang w:val="en-US"/>
              </w:rPr>
              <w:t>Southern Palestine</w:t>
            </w:r>
          </w:p>
        </w:tc>
        <w:tc>
          <w:tcPr>
            <w:tcW w:w="2524" w:type="dxa"/>
            <w:tcBorders>
              <w:top w:val="single" w:sz="6" w:space="0" w:color="000000"/>
              <w:left w:val="single" w:sz="4" w:space="0" w:color="auto"/>
              <w:bottom w:val="single" w:sz="4" w:space="0" w:color="000000"/>
              <w:right w:val="single" w:sz="4" w:space="0" w:color="auto"/>
            </w:tcBorders>
          </w:tcPr>
          <w:p w14:paraId="6D45CD88" w14:textId="77777777" w:rsidR="00E73BD8" w:rsidRPr="00250E94" w:rsidRDefault="00E73BD8" w:rsidP="00B27F75">
            <w:pPr>
              <w:widowControl w:val="0"/>
              <w:spacing w:after="200" w:line="240" w:lineRule="auto"/>
              <w:rPr>
                <w:rFonts w:eastAsiaTheme="minorHAnsi"/>
                <w:sz w:val="20"/>
                <w:szCs w:val="20"/>
                <w:lang w:val="en-US"/>
              </w:rPr>
            </w:pPr>
            <w:r w:rsidRPr="00250E94">
              <w:rPr>
                <w:rFonts w:eastAsiaTheme="minorHAnsi"/>
                <w:sz w:val="20"/>
                <w:szCs w:val="20"/>
                <w:lang w:val="en-US"/>
              </w:rPr>
              <w:t>Shephelah (Southern Palestine)</w:t>
            </w:r>
          </w:p>
        </w:tc>
        <w:tc>
          <w:tcPr>
            <w:tcW w:w="1256" w:type="dxa"/>
            <w:tcBorders>
              <w:top w:val="single" w:sz="6" w:space="0" w:color="000000"/>
              <w:left w:val="single" w:sz="4" w:space="0" w:color="auto"/>
              <w:bottom w:val="single" w:sz="4" w:space="0" w:color="000000"/>
              <w:right w:val="single" w:sz="4" w:space="0" w:color="auto"/>
            </w:tcBorders>
          </w:tcPr>
          <w:p w14:paraId="29EAD9DC" w14:textId="77777777" w:rsidR="00E73BD8" w:rsidRPr="00250E94" w:rsidRDefault="00E73BD8" w:rsidP="00B27F75">
            <w:pPr>
              <w:widowControl w:val="0"/>
              <w:spacing w:after="200" w:line="240" w:lineRule="auto"/>
              <w:jc w:val="center"/>
              <w:rPr>
                <w:rFonts w:eastAsiaTheme="minorHAnsi"/>
                <w:sz w:val="20"/>
                <w:szCs w:val="20"/>
                <w:lang w:val="en-US"/>
              </w:rPr>
            </w:pPr>
            <w:r w:rsidRPr="00250E94">
              <w:rPr>
                <w:rFonts w:eastAsiaTheme="minorHAnsi"/>
                <w:sz w:val="20"/>
                <w:szCs w:val="20"/>
                <w:lang w:val="en-US"/>
              </w:rPr>
              <w:t>+</w:t>
            </w:r>
          </w:p>
        </w:tc>
        <w:tc>
          <w:tcPr>
            <w:tcW w:w="3690" w:type="dxa"/>
            <w:tcBorders>
              <w:top w:val="single" w:sz="6" w:space="0" w:color="000000"/>
              <w:left w:val="single" w:sz="4" w:space="0" w:color="auto"/>
              <w:bottom w:val="single" w:sz="4" w:space="0" w:color="000000"/>
              <w:right w:val="single" w:sz="4" w:space="0" w:color="auto"/>
            </w:tcBorders>
          </w:tcPr>
          <w:p w14:paraId="31B4A5B7" w14:textId="77777777" w:rsidR="00E73BD8" w:rsidRPr="00250E94" w:rsidRDefault="00E73BD8" w:rsidP="00B27F75">
            <w:pPr>
              <w:widowControl w:val="0"/>
              <w:spacing w:after="200" w:line="240" w:lineRule="auto"/>
              <w:rPr>
                <w:rFonts w:eastAsiaTheme="minorHAnsi"/>
                <w:sz w:val="20"/>
                <w:szCs w:val="20"/>
                <w:lang w:val="en-US"/>
              </w:rPr>
            </w:pPr>
            <w:r w:rsidRPr="00250E94">
              <w:rPr>
                <w:rFonts w:eastAsiaTheme="minorHAnsi"/>
                <w:sz w:val="20"/>
                <w:szCs w:val="20"/>
                <w:lang w:val="en-US"/>
              </w:rPr>
              <w:t>Northernmost Israeli coast or the Lebanese coast</w:t>
            </w:r>
          </w:p>
        </w:tc>
        <w:tc>
          <w:tcPr>
            <w:tcW w:w="1530" w:type="dxa"/>
            <w:tcBorders>
              <w:top w:val="single" w:sz="6" w:space="0" w:color="000000"/>
              <w:left w:val="single" w:sz="4" w:space="0" w:color="auto"/>
              <w:bottom w:val="single" w:sz="3" w:space="0" w:color="000000"/>
              <w:right w:val="single" w:sz="4" w:space="0" w:color="auto"/>
            </w:tcBorders>
          </w:tcPr>
          <w:p w14:paraId="7A461A52" w14:textId="77777777" w:rsidR="00E73BD8" w:rsidRPr="00250E94" w:rsidRDefault="00E73BD8" w:rsidP="00B27F75">
            <w:pPr>
              <w:widowControl w:val="0"/>
              <w:spacing w:after="200" w:line="240" w:lineRule="auto"/>
              <w:jc w:val="center"/>
              <w:rPr>
                <w:rFonts w:eastAsiaTheme="minorHAnsi"/>
                <w:sz w:val="20"/>
                <w:szCs w:val="20"/>
                <w:lang w:val="en-US"/>
              </w:rPr>
            </w:pPr>
            <w:r w:rsidRPr="00250E94">
              <w:rPr>
                <w:rFonts w:eastAsiaTheme="minorHAnsi"/>
                <w:sz w:val="20"/>
                <w:szCs w:val="20"/>
                <w:lang w:val="en-US"/>
              </w:rPr>
              <w:t>-</w:t>
            </w:r>
          </w:p>
        </w:tc>
        <w:tc>
          <w:tcPr>
            <w:tcW w:w="1440" w:type="dxa"/>
            <w:tcBorders>
              <w:top w:val="single" w:sz="6" w:space="0" w:color="000000"/>
              <w:left w:val="single" w:sz="4" w:space="0" w:color="auto"/>
              <w:bottom w:val="single" w:sz="3" w:space="0" w:color="000000"/>
              <w:right w:val="single" w:sz="4" w:space="0" w:color="auto"/>
            </w:tcBorders>
          </w:tcPr>
          <w:p w14:paraId="6E6CA882" w14:textId="77777777" w:rsidR="00E73BD8" w:rsidRPr="00250E94" w:rsidRDefault="00E73BD8" w:rsidP="00B27F75">
            <w:pPr>
              <w:widowControl w:val="0"/>
              <w:spacing w:after="200" w:line="240" w:lineRule="auto"/>
              <w:jc w:val="center"/>
              <w:rPr>
                <w:rFonts w:eastAsiaTheme="minorHAnsi"/>
                <w:b/>
                <w:sz w:val="20"/>
                <w:szCs w:val="20"/>
                <w:lang w:val="en-US"/>
              </w:rPr>
            </w:pPr>
            <w:r w:rsidRPr="00250E94">
              <w:rPr>
                <w:rFonts w:eastAsiaTheme="minorHAnsi"/>
                <w:b/>
                <w:sz w:val="20"/>
                <w:szCs w:val="20"/>
                <w:lang w:val="en-US"/>
              </w:rPr>
              <w:t>-</w:t>
            </w:r>
          </w:p>
        </w:tc>
      </w:tr>
      <w:tr w:rsidR="00E73BD8" w:rsidRPr="00250E94" w14:paraId="416FD6D0" w14:textId="77777777" w:rsidTr="00B27F75">
        <w:trPr>
          <w:trHeight w:hRule="exact" w:val="262"/>
        </w:trPr>
        <w:tc>
          <w:tcPr>
            <w:tcW w:w="1633" w:type="dxa"/>
            <w:tcBorders>
              <w:top w:val="single" w:sz="4" w:space="0" w:color="000000"/>
              <w:left w:val="single" w:sz="4" w:space="0" w:color="auto"/>
              <w:bottom w:val="single" w:sz="4" w:space="0" w:color="000000"/>
              <w:right w:val="single" w:sz="4" w:space="0" w:color="auto"/>
            </w:tcBorders>
          </w:tcPr>
          <w:p w14:paraId="090001AE" w14:textId="77777777" w:rsidR="00E73BD8" w:rsidRPr="00250E94" w:rsidRDefault="00E73BD8" w:rsidP="00B27F75">
            <w:pPr>
              <w:widowControl w:val="0"/>
              <w:spacing w:after="200" w:line="240" w:lineRule="auto"/>
              <w:rPr>
                <w:rFonts w:eastAsiaTheme="minorHAnsi"/>
                <w:sz w:val="20"/>
                <w:szCs w:val="20"/>
                <w:lang w:val="en-US"/>
              </w:rPr>
            </w:pPr>
            <w:r w:rsidRPr="00250E94">
              <w:rPr>
                <w:rFonts w:eastAsiaTheme="minorHAnsi"/>
                <w:sz w:val="20"/>
                <w:szCs w:val="20"/>
                <w:lang w:val="en-US"/>
              </w:rPr>
              <w:t>2497G, JH072</w:t>
            </w:r>
          </w:p>
        </w:tc>
        <w:tc>
          <w:tcPr>
            <w:tcW w:w="2408" w:type="dxa"/>
            <w:tcBorders>
              <w:top w:val="single" w:sz="4" w:space="0" w:color="000000"/>
              <w:left w:val="single" w:sz="4" w:space="0" w:color="auto"/>
              <w:bottom w:val="single" w:sz="4" w:space="0" w:color="000000"/>
              <w:right w:val="single" w:sz="4" w:space="0" w:color="auto"/>
            </w:tcBorders>
          </w:tcPr>
          <w:p w14:paraId="604D2C9A" w14:textId="77777777" w:rsidR="00E73BD8" w:rsidRPr="00250E94" w:rsidRDefault="00E73BD8" w:rsidP="00B27F75">
            <w:pPr>
              <w:widowControl w:val="0"/>
              <w:spacing w:after="200" w:line="240" w:lineRule="auto"/>
              <w:rPr>
                <w:rFonts w:eastAsiaTheme="minorHAnsi"/>
                <w:sz w:val="20"/>
                <w:szCs w:val="20"/>
                <w:lang w:val="en-US"/>
              </w:rPr>
            </w:pPr>
            <w:r w:rsidRPr="00250E94">
              <w:rPr>
                <w:rFonts w:eastAsiaTheme="minorHAnsi"/>
                <w:sz w:val="20"/>
                <w:szCs w:val="20"/>
                <w:lang w:val="en-US"/>
              </w:rPr>
              <w:t>? (possibly Southern Palestine)</w:t>
            </w:r>
          </w:p>
        </w:tc>
        <w:tc>
          <w:tcPr>
            <w:tcW w:w="2524" w:type="dxa"/>
            <w:tcBorders>
              <w:top w:val="single" w:sz="4" w:space="0" w:color="000000"/>
              <w:left w:val="single" w:sz="4" w:space="0" w:color="auto"/>
              <w:bottom w:val="single" w:sz="4" w:space="0" w:color="000000"/>
              <w:right w:val="single" w:sz="4" w:space="0" w:color="auto"/>
            </w:tcBorders>
          </w:tcPr>
          <w:p w14:paraId="0BB4F939" w14:textId="77777777" w:rsidR="00E73BD8" w:rsidRPr="00250E94" w:rsidRDefault="00E73BD8" w:rsidP="00B27F75">
            <w:pPr>
              <w:widowControl w:val="0"/>
              <w:spacing w:after="200" w:line="240" w:lineRule="auto"/>
              <w:rPr>
                <w:rFonts w:eastAsiaTheme="minorHAnsi"/>
                <w:sz w:val="20"/>
                <w:szCs w:val="20"/>
                <w:lang w:val="en-US"/>
              </w:rPr>
            </w:pPr>
            <w:r w:rsidRPr="00250E94">
              <w:rPr>
                <w:rFonts w:eastAsiaTheme="minorHAnsi"/>
                <w:sz w:val="20"/>
                <w:szCs w:val="20"/>
                <w:lang w:val="en-US"/>
              </w:rPr>
              <w:t>Not recorded</w:t>
            </w:r>
          </w:p>
        </w:tc>
        <w:tc>
          <w:tcPr>
            <w:tcW w:w="1256" w:type="dxa"/>
            <w:tcBorders>
              <w:top w:val="single" w:sz="4" w:space="0" w:color="000000"/>
              <w:left w:val="single" w:sz="4" w:space="0" w:color="auto"/>
              <w:bottom w:val="single" w:sz="4" w:space="0" w:color="000000"/>
              <w:right w:val="single" w:sz="4" w:space="0" w:color="auto"/>
            </w:tcBorders>
          </w:tcPr>
          <w:p w14:paraId="38C9BB0D" w14:textId="77777777" w:rsidR="00E73BD8" w:rsidRPr="00250E94" w:rsidRDefault="00E73BD8" w:rsidP="00B27F75">
            <w:pPr>
              <w:widowControl w:val="0"/>
              <w:spacing w:after="200" w:line="240" w:lineRule="auto"/>
              <w:jc w:val="center"/>
              <w:rPr>
                <w:rFonts w:eastAsiaTheme="minorHAnsi"/>
                <w:sz w:val="20"/>
                <w:szCs w:val="20"/>
                <w:lang w:val="en-US"/>
              </w:rPr>
            </w:pPr>
            <w:r w:rsidRPr="00250E94">
              <w:rPr>
                <w:rFonts w:eastAsiaTheme="minorHAnsi"/>
                <w:sz w:val="20"/>
                <w:szCs w:val="20"/>
                <w:lang w:val="en-US"/>
              </w:rPr>
              <w:t>No information</w:t>
            </w:r>
          </w:p>
        </w:tc>
        <w:tc>
          <w:tcPr>
            <w:tcW w:w="3690" w:type="dxa"/>
            <w:tcBorders>
              <w:top w:val="single" w:sz="4" w:space="0" w:color="000000"/>
              <w:left w:val="single" w:sz="4" w:space="0" w:color="auto"/>
              <w:bottom w:val="single" w:sz="4" w:space="0" w:color="000000"/>
              <w:right w:val="single" w:sz="4" w:space="0" w:color="auto"/>
            </w:tcBorders>
          </w:tcPr>
          <w:p w14:paraId="2E19B62B" w14:textId="77777777" w:rsidR="00E73BD8" w:rsidRPr="00250E94" w:rsidRDefault="00E73BD8" w:rsidP="00B27F75">
            <w:pPr>
              <w:widowControl w:val="0"/>
              <w:spacing w:after="200" w:line="240" w:lineRule="auto"/>
              <w:rPr>
                <w:rFonts w:eastAsiaTheme="minorHAnsi"/>
                <w:sz w:val="20"/>
                <w:szCs w:val="20"/>
                <w:lang w:val="en-US"/>
              </w:rPr>
            </w:pPr>
            <w:r w:rsidRPr="00250E94">
              <w:rPr>
                <w:rFonts w:eastAsiaTheme="minorHAnsi"/>
                <w:sz w:val="20"/>
                <w:szCs w:val="20"/>
                <w:lang w:val="en-US"/>
              </w:rPr>
              <w:t>Akkar plain/Jezreel Valley</w:t>
            </w:r>
          </w:p>
        </w:tc>
        <w:tc>
          <w:tcPr>
            <w:tcW w:w="1530" w:type="dxa"/>
            <w:tcBorders>
              <w:top w:val="single" w:sz="3" w:space="0" w:color="000000"/>
              <w:left w:val="single" w:sz="4" w:space="0" w:color="auto"/>
              <w:bottom w:val="single" w:sz="3" w:space="0" w:color="000000"/>
              <w:right w:val="single" w:sz="4" w:space="0" w:color="auto"/>
            </w:tcBorders>
          </w:tcPr>
          <w:p w14:paraId="2B6E5E4C" w14:textId="77777777" w:rsidR="00E73BD8" w:rsidRPr="00250E94" w:rsidRDefault="00E73BD8" w:rsidP="00B27F75">
            <w:pPr>
              <w:widowControl w:val="0"/>
              <w:spacing w:after="200" w:line="240" w:lineRule="auto"/>
              <w:jc w:val="center"/>
              <w:rPr>
                <w:rFonts w:eastAsiaTheme="minorHAnsi"/>
                <w:sz w:val="20"/>
                <w:szCs w:val="20"/>
                <w:lang w:val="en-US"/>
              </w:rPr>
            </w:pPr>
            <w:r w:rsidRPr="00250E94">
              <w:rPr>
                <w:rFonts w:eastAsiaTheme="minorHAnsi"/>
                <w:sz w:val="20"/>
                <w:szCs w:val="20"/>
                <w:lang w:val="en-US"/>
              </w:rPr>
              <w:t>-</w:t>
            </w:r>
          </w:p>
        </w:tc>
        <w:tc>
          <w:tcPr>
            <w:tcW w:w="1440" w:type="dxa"/>
            <w:tcBorders>
              <w:top w:val="single" w:sz="3" w:space="0" w:color="000000"/>
              <w:left w:val="single" w:sz="4" w:space="0" w:color="auto"/>
              <w:bottom w:val="single" w:sz="3" w:space="0" w:color="000000"/>
              <w:right w:val="single" w:sz="4" w:space="0" w:color="auto"/>
            </w:tcBorders>
          </w:tcPr>
          <w:p w14:paraId="442458CF" w14:textId="77777777" w:rsidR="00E73BD8" w:rsidRPr="00250E94" w:rsidRDefault="00E73BD8" w:rsidP="00B27F75">
            <w:pPr>
              <w:widowControl w:val="0"/>
              <w:spacing w:after="200" w:line="240" w:lineRule="auto"/>
              <w:jc w:val="center"/>
              <w:rPr>
                <w:rFonts w:eastAsiaTheme="minorHAnsi"/>
                <w:b/>
                <w:sz w:val="20"/>
                <w:szCs w:val="20"/>
                <w:lang w:val="en-US"/>
              </w:rPr>
            </w:pPr>
            <w:r w:rsidRPr="00250E94">
              <w:rPr>
                <w:rFonts w:eastAsiaTheme="minorHAnsi"/>
                <w:b/>
                <w:sz w:val="20"/>
                <w:szCs w:val="20"/>
                <w:lang w:val="en-US"/>
              </w:rPr>
              <w:t>No information</w:t>
            </w:r>
          </w:p>
        </w:tc>
      </w:tr>
      <w:tr w:rsidR="00E73BD8" w:rsidRPr="00250E94" w14:paraId="33014622" w14:textId="77777777" w:rsidTr="00B27F75">
        <w:trPr>
          <w:trHeight w:hRule="exact" w:val="451"/>
        </w:trPr>
        <w:tc>
          <w:tcPr>
            <w:tcW w:w="1633" w:type="dxa"/>
            <w:tcBorders>
              <w:top w:val="single" w:sz="4" w:space="0" w:color="000000"/>
              <w:left w:val="single" w:sz="4" w:space="0" w:color="auto"/>
              <w:bottom w:val="single" w:sz="3" w:space="0" w:color="000000"/>
              <w:right w:val="single" w:sz="4" w:space="0" w:color="auto"/>
            </w:tcBorders>
          </w:tcPr>
          <w:p w14:paraId="7A90CCB0" w14:textId="77777777" w:rsidR="00E73BD8" w:rsidRPr="00250E94" w:rsidRDefault="00E73BD8" w:rsidP="00B27F75">
            <w:pPr>
              <w:widowControl w:val="0"/>
              <w:spacing w:after="200" w:line="240" w:lineRule="auto"/>
              <w:rPr>
                <w:rFonts w:eastAsiaTheme="minorHAnsi"/>
                <w:sz w:val="20"/>
                <w:szCs w:val="20"/>
                <w:lang w:val="en-US"/>
              </w:rPr>
            </w:pPr>
            <w:bookmarkStart w:id="63" w:name="_Hlk8538734"/>
            <w:r w:rsidRPr="00250E94">
              <w:rPr>
                <w:rFonts w:eastAsiaTheme="minorHAnsi"/>
                <w:sz w:val="20"/>
                <w:szCs w:val="20"/>
                <w:lang w:val="en-US"/>
              </w:rPr>
              <w:t>2532C</w:t>
            </w:r>
            <w:bookmarkEnd w:id="63"/>
            <w:r w:rsidRPr="00250E94">
              <w:rPr>
                <w:rFonts w:eastAsiaTheme="minorHAnsi"/>
                <w:sz w:val="20"/>
                <w:szCs w:val="20"/>
                <w:lang w:val="en-US"/>
              </w:rPr>
              <w:t>, JH055</w:t>
            </w:r>
          </w:p>
        </w:tc>
        <w:tc>
          <w:tcPr>
            <w:tcW w:w="2408" w:type="dxa"/>
            <w:tcBorders>
              <w:top w:val="single" w:sz="4" w:space="0" w:color="000000"/>
              <w:left w:val="single" w:sz="4" w:space="0" w:color="auto"/>
              <w:bottom w:val="single" w:sz="3" w:space="0" w:color="000000"/>
              <w:right w:val="single" w:sz="4" w:space="0" w:color="auto"/>
            </w:tcBorders>
          </w:tcPr>
          <w:p w14:paraId="2009880E" w14:textId="77777777" w:rsidR="00E73BD8" w:rsidRPr="00250E94" w:rsidRDefault="00E73BD8" w:rsidP="00B27F75">
            <w:pPr>
              <w:widowControl w:val="0"/>
              <w:spacing w:after="200" w:line="240" w:lineRule="auto"/>
              <w:rPr>
                <w:rFonts w:eastAsiaTheme="minorHAnsi"/>
                <w:sz w:val="20"/>
                <w:szCs w:val="20"/>
                <w:lang w:val="en-US"/>
              </w:rPr>
            </w:pPr>
            <w:r w:rsidRPr="00250E94">
              <w:rPr>
                <w:rFonts w:eastAsiaTheme="minorHAnsi"/>
                <w:sz w:val="20"/>
                <w:szCs w:val="20"/>
                <w:lang w:val="en-US"/>
              </w:rPr>
              <w:t>?</w:t>
            </w:r>
          </w:p>
        </w:tc>
        <w:tc>
          <w:tcPr>
            <w:tcW w:w="2524" w:type="dxa"/>
            <w:tcBorders>
              <w:top w:val="single" w:sz="4" w:space="0" w:color="000000"/>
              <w:left w:val="single" w:sz="4" w:space="0" w:color="auto"/>
              <w:bottom w:val="single" w:sz="3" w:space="0" w:color="000000"/>
              <w:right w:val="single" w:sz="4" w:space="0" w:color="auto"/>
            </w:tcBorders>
          </w:tcPr>
          <w:p w14:paraId="28B54E57" w14:textId="77777777" w:rsidR="00E73BD8" w:rsidRPr="00250E94" w:rsidRDefault="00E73BD8" w:rsidP="00B27F75">
            <w:pPr>
              <w:widowControl w:val="0"/>
              <w:spacing w:after="200" w:line="240" w:lineRule="auto"/>
              <w:rPr>
                <w:rFonts w:eastAsiaTheme="minorHAnsi"/>
                <w:sz w:val="20"/>
                <w:szCs w:val="20"/>
                <w:lang w:val="en-US"/>
              </w:rPr>
            </w:pPr>
            <w:r w:rsidRPr="00250E94">
              <w:rPr>
                <w:rFonts w:eastAsiaTheme="minorHAnsi"/>
                <w:sz w:val="20"/>
                <w:szCs w:val="20"/>
                <w:lang w:val="en-US"/>
              </w:rPr>
              <w:t>Egypt</w:t>
            </w:r>
          </w:p>
        </w:tc>
        <w:tc>
          <w:tcPr>
            <w:tcW w:w="1256" w:type="dxa"/>
            <w:tcBorders>
              <w:top w:val="single" w:sz="4" w:space="0" w:color="000000"/>
              <w:left w:val="single" w:sz="4" w:space="0" w:color="auto"/>
              <w:bottom w:val="single" w:sz="3" w:space="0" w:color="000000"/>
              <w:right w:val="single" w:sz="4" w:space="0" w:color="auto"/>
            </w:tcBorders>
          </w:tcPr>
          <w:p w14:paraId="4E8B1D7F" w14:textId="77777777" w:rsidR="00E73BD8" w:rsidRPr="00250E94" w:rsidRDefault="00E73BD8" w:rsidP="00B27F75">
            <w:pPr>
              <w:widowControl w:val="0"/>
              <w:spacing w:after="200" w:line="240" w:lineRule="auto"/>
              <w:jc w:val="center"/>
              <w:rPr>
                <w:rFonts w:eastAsiaTheme="minorHAnsi"/>
                <w:sz w:val="20"/>
                <w:szCs w:val="20"/>
                <w:lang w:val="en-US"/>
              </w:rPr>
            </w:pPr>
            <w:r w:rsidRPr="00250E94">
              <w:rPr>
                <w:rFonts w:eastAsiaTheme="minorHAnsi"/>
                <w:sz w:val="20"/>
                <w:szCs w:val="20"/>
                <w:lang w:val="en-US"/>
              </w:rPr>
              <w:t>?</w:t>
            </w:r>
          </w:p>
        </w:tc>
        <w:tc>
          <w:tcPr>
            <w:tcW w:w="3690" w:type="dxa"/>
            <w:tcBorders>
              <w:top w:val="single" w:sz="4" w:space="0" w:color="000000"/>
              <w:left w:val="single" w:sz="4" w:space="0" w:color="auto"/>
              <w:bottom w:val="single" w:sz="3" w:space="0" w:color="000000"/>
              <w:right w:val="single" w:sz="4" w:space="0" w:color="auto"/>
            </w:tcBorders>
          </w:tcPr>
          <w:p w14:paraId="49F76C53" w14:textId="77777777" w:rsidR="00E73BD8" w:rsidRPr="00250E94" w:rsidRDefault="00E73BD8" w:rsidP="00B27F75">
            <w:pPr>
              <w:widowControl w:val="0"/>
              <w:spacing w:after="200" w:line="240" w:lineRule="auto"/>
              <w:rPr>
                <w:rFonts w:eastAsiaTheme="minorHAnsi"/>
                <w:sz w:val="20"/>
                <w:szCs w:val="20"/>
                <w:lang w:val="en-US"/>
              </w:rPr>
            </w:pPr>
            <w:bookmarkStart w:id="64" w:name="_Hlk8455570"/>
            <w:r w:rsidRPr="00250E94">
              <w:rPr>
                <w:rFonts w:eastAsiaTheme="minorHAnsi"/>
                <w:sz w:val="20"/>
                <w:szCs w:val="20"/>
                <w:lang w:val="en-US"/>
              </w:rPr>
              <w:t>Lebanon east of the coast line Beirut-Byblos</w:t>
            </w:r>
            <w:bookmarkEnd w:id="64"/>
          </w:p>
        </w:tc>
        <w:tc>
          <w:tcPr>
            <w:tcW w:w="1530" w:type="dxa"/>
            <w:tcBorders>
              <w:top w:val="single" w:sz="3" w:space="0" w:color="000000"/>
              <w:left w:val="single" w:sz="4" w:space="0" w:color="auto"/>
              <w:bottom w:val="single" w:sz="3" w:space="0" w:color="000000"/>
              <w:right w:val="single" w:sz="4" w:space="0" w:color="auto"/>
            </w:tcBorders>
          </w:tcPr>
          <w:p w14:paraId="3403882A" w14:textId="77777777" w:rsidR="00E73BD8" w:rsidRPr="00250E94" w:rsidRDefault="00E73BD8" w:rsidP="00B27F75">
            <w:pPr>
              <w:widowControl w:val="0"/>
              <w:spacing w:after="200" w:line="240" w:lineRule="auto"/>
              <w:jc w:val="center"/>
              <w:rPr>
                <w:rFonts w:eastAsiaTheme="minorHAnsi"/>
                <w:sz w:val="20"/>
                <w:szCs w:val="20"/>
                <w:lang w:val="en-US"/>
              </w:rPr>
            </w:pPr>
            <w:r w:rsidRPr="00250E94">
              <w:rPr>
                <w:rFonts w:eastAsiaTheme="minorHAnsi"/>
                <w:sz w:val="20"/>
                <w:szCs w:val="20"/>
                <w:lang w:val="en-US"/>
              </w:rPr>
              <w:t>N.D. (should be -)</w:t>
            </w:r>
          </w:p>
        </w:tc>
        <w:tc>
          <w:tcPr>
            <w:tcW w:w="1440" w:type="dxa"/>
            <w:tcBorders>
              <w:top w:val="single" w:sz="3" w:space="0" w:color="000000"/>
              <w:left w:val="single" w:sz="4" w:space="0" w:color="auto"/>
              <w:bottom w:val="single" w:sz="3" w:space="0" w:color="000000"/>
              <w:right w:val="single" w:sz="4" w:space="0" w:color="auto"/>
            </w:tcBorders>
          </w:tcPr>
          <w:p w14:paraId="068B8F33" w14:textId="77777777" w:rsidR="00E73BD8" w:rsidRPr="00250E94" w:rsidRDefault="00E73BD8" w:rsidP="00B27F75">
            <w:pPr>
              <w:widowControl w:val="0"/>
              <w:spacing w:after="200" w:line="240" w:lineRule="auto"/>
              <w:jc w:val="center"/>
              <w:rPr>
                <w:rFonts w:eastAsiaTheme="minorHAnsi"/>
                <w:b/>
                <w:sz w:val="20"/>
                <w:szCs w:val="20"/>
                <w:lang w:val="en-US"/>
              </w:rPr>
            </w:pPr>
            <w:r w:rsidRPr="00250E94">
              <w:rPr>
                <w:rFonts w:eastAsiaTheme="minorHAnsi"/>
                <w:b/>
                <w:sz w:val="20"/>
                <w:szCs w:val="20"/>
                <w:lang w:val="en-US"/>
              </w:rPr>
              <w:t>-</w:t>
            </w:r>
          </w:p>
        </w:tc>
      </w:tr>
      <w:tr w:rsidR="00E73BD8" w:rsidRPr="00250E94" w14:paraId="1BE66F32" w14:textId="77777777" w:rsidTr="00B27F75">
        <w:trPr>
          <w:trHeight w:hRule="exact" w:val="277"/>
        </w:trPr>
        <w:tc>
          <w:tcPr>
            <w:tcW w:w="1633" w:type="dxa"/>
            <w:tcBorders>
              <w:top w:val="single" w:sz="3" w:space="0" w:color="000000"/>
              <w:left w:val="single" w:sz="4" w:space="0" w:color="auto"/>
              <w:bottom w:val="single" w:sz="4" w:space="0" w:color="000000"/>
              <w:right w:val="single" w:sz="4" w:space="0" w:color="auto"/>
            </w:tcBorders>
          </w:tcPr>
          <w:p w14:paraId="52EC5F71" w14:textId="77777777" w:rsidR="00E73BD8" w:rsidRPr="00250E94" w:rsidRDefault="00E73BD8" w:rsidP="00B27F75">
            <w:pPr>
              <w:widowControl w:val="0"/>
              <w:spacing w:after="200" w:line="240" w:lineRule="auto"/>
              <w:rPr>
                <w:rFonts w:eastAsiaTheme="minorHAnsi"/>
                <w:sz w:val="20"/>
                <w:szCs w:val="20"/>
                <w:lang w:val="en-US"/>
              </w:rPr>
            </w:pPr>
            <w:r w:rsidRPr="00250E94">
              <w:rPr>
                <w:rFonts w:eastAsiaTheme="minorHAnsi"/>
                <w:sz w:val="20"/>
                <w:szCs w:val="20"/>
                <w:lang w:val="en-US"/>
              </w:rPr>
              <w:t>2660B, JH136</w:t>
            </w:r>
          </w:p>
        </w:tc>
        <w:tc>
          <w:tcPr>
            <w:tcW w:w="2408" w:type="dxa"/>
            <w:tcBorders>
              <w:top w:val="single" w:sz="3" w:space="0" w:color="000000"/>
              <w:left w:val="single" w:sz="4" w:space="0" w:color="auto"/>
              <w:bottom w:val="single" w:sz="3" w:space="0" w:color="000000"/>
              <w:right w:val="single" w:sz="4" w:space="0" w:color="auto"/>
            </w:tcBorders>
          </w:tcPr>
          <w:p w14:paraId="51164AC4" w14:textId="77777777" w:rsidR="00E73BD8" w:rsidRPr="00250E94" w:rsidRDefault="00E73BD8" w:rsidP="00B27F75">
            <w:pPr>
              <w:widowControl w:val="0"/>
              <w:spacing w:after="200" w:line="240" w:lineRule="auto"/>
              <w:rPr>
                <w:rFonts w:eastAsiaTheme="minorHAnsi"/>
                <w:sz w:val="20"/>
                <w:szCs w:val="20"/>
                <w:lang w:val="en-US"/>
              </w:rPr>
            </w:pPr>
            <w:r w:rsidRPr="00250E94">
              <w:rPr>
                <w:rFonts w:eastAsiaTheme="minorHAnsi"/>
                <w:sz w:val="20"/>
                <w:szCs w:val="20"/>
                <w:lang w:val="en-US"/>
              </w:rPr>
              <w:t>Southern Palestine</w:t>
            </w:r>
          </w:p>
        </w:tc>
        <w:tc>
          <w:tcPr>
            <w:tcW w:w="2524" w:type="dxa"/>
            <w:tcBorders>
              <w:top w:val="single" w:sz="3" w:space="0" w:color="000000"/>
              <w:left w:val="single" w:sz="4" w:space="0" w:color="auto"/>
              <w:bottom w:val="single" w:sz="3" w:space="0" w:color="000000"/>
              <w:right w:val="single" w:sz="4" w:space="0" w:color="auto"/>
            </w:tcBorders>
          </w:tcPr>
          <w:p w14:paraId="5F3F1D70" w14:textId="77777777" w:rsidR="00E73BD8" w:rsidRPr="00250E94" w:rsidRDefault="00E73BD8" w:rsidP="00B27F75">
            <w:pPr>
              <w:widowControl w:val="0"/>
              <w:spacing w:after="200" w:line="240" w:lineRule="auto"/>
              <w:rPr>
                <w:rFonts w:eastAsiaTheme="minorHAnsi"/>
                <w:sz w:val="20"/>
                <w:szCs w:val="20"/>
                <w:lang w:val="en-US"/>
              </w:rPr>
            </w:pPr>
            <w:r w:rsidRPr="00250E94">
              <w:rPr>
                <w:rFonts w:eastAsiaTheme="minorHAnsi"/>
                <w:sz w:val="20"/>
                <w:szCs w:val="20"/>
                <w:lang w:val="en-US"/>
              </w:rPr>
              <w:t>Not recorded</w:t>
            </w:r>
          </w:p>
        </w:tc>
        <w:tc>
          <w:tcPr>
            <w:tcW w:w="1256" w:type="dxa"/>
            <w:tcBorders>
              <w:top w:val="single" w:sz="3" w:space="0" w:color="000000"/>
              <w:left w:val="single" w:sz="4" w:space="0" w:color="auto"/>
              <w:bottom w:val="single" w:sz="3" w:space="0" w:color="000000"/>
              <w:right w:val="single" w:sz="4" w:space="0" w:color="auto"/>
            </w:tcBorders>
          </w:tcPr>
          <w:p w14:paraId="13594288" w14:textId="77777777" w:rsidR="00E73BD8" w:rsidRPr="00250E94" w:rsidRDefault="00E73BD8" w:rsidP="00B27F75">
            <w:pPr>
              <w:widowControl w:val="0"/>
              <w:spacing w:after="200" w:line="240" w:lineRule="auto"/>
              <w:jc w:val="center"/>
              <w:rPr>
                <w:rFonts w:eastAsiaTheme="minorHAnsi"/>
                <w:sz w:val="20"/>
                <w:szCs w:val="20"/>
                <w:lang w:val="en-US"/>
              </w:rPr>
            </w:pPr>
            <w:r w:rsidRPr="00250E94">
              <w:rPr>
                <w:rFonts w:eastAsiaTheme="minorHAnsi"/>
                <w:sz w:val="20"/>
                <w:szCs w:val="20"/>
                <w:lang w:val="en-US"/>
              </w:rPr>
              <w:t>?</w:t>
            </w:r>
          </w:p>
        </w:tc>
        <w:tc>
          <w:tcPr>
            <w:tcW w:w="3690" w:type="dxa"/>
            <w:tcBorders>
              <w:top w:val="single" w:sz="3" w:space="0" w:color="000000"/>
              <w:left w:val="single" w:sz="4" w:space="0" w:color="auto"/>
              <w:bottom w:val="single" w:sz="3" w:space="0" w:color="000000"/>
              <w:right w:val="single" w:sz="4" w:space="0" w:color="auto"/>
            </w:tcBorders>
          </w:tcPr>
          <w:p w14:paraId="625A2403" w14:textId="77777777" w:rsidR="00E73BD8" w:rsidRPr="00250E94" w:rsidRDefault="00E73BD8" w:rsidP="00B27F75">
            <w:pPr>
              <w:widowControl w:val="0"/>
              <w:spacing w:after="200" w:line="240" w:lineRule="auto"/>
              <w:rPr>
                <w:rFonts w:eastAsiaTheme="minorHAnsi"/>
                <w:sz w:val="20"/>
                <w:szCs w:val="20"/>
                <w:lang w:val="en-US"/>
              </w:rPr>
            </w:pPr>
            <w:bookmarkStart w:id="65" w:name="_Hlk8455600"/>
            <w:r w:rsidRPr="00250E94">
              <w:rPr>
                <w:rFonts w:eastAsiaTheme="minorHAnsi"/>
                <w:sz w:val="20"/>
                <w:szCs w:val="20"/>
                <w:lang w:val="en-US"/>
              </w:rPr>
              <w:t>Northernmost Israeli coast or the Lebanese coast</w:t>
            </w:r>
            <w:bookmarkEnd w:id="65"/>
          </w:p>
        </w:tc>
        <w:tc>
          <w:tcPr>
            <w:tcW w:w="1530" w:type="dxa"/>
            <w:tcBorders>
              <w:top w:val="single" w:sz="3" w:space="0" w:color="000000"/>
              <w:left w:val="single" w:sz="4" w:space="0" w:color="auto"/>
              <w:bottom w:val="single" w:sz="4" w:space="0" w:color="000000"/>
              <w:right w:val="single" w:sz="4" w:space="0" w:color="auto"/>
            </w:tcBorders>
          </w:tcPr>
          <w:p w14:paraId="3724614E" w14:textId="77777777" w:rsidR="00E73BD8" w:rsidRPr="00250E94" w:rsidRDefault="00E73BD8" w:rsidP="00B27F75">
            <w:pPr>
              <w:widowControl w:val="0"/>
              <w:spacing w:after="200" w:line="240" w:lineRule="auto"/>
              <w:jc w:val="center"/>
              <w:rPr>
                <w:rFonts w:eastAsiaTheme="minorHAnsi"/>
                <w:sz w:val="20"/>
                <w:szCs w:val="20"/>
                <w:lang w:val="en-US"/>
              </w:rPr>
            </w:pPr>
            <w:r w:rsidRPr="00250E94">
              <w:rPr>
                <w:rFonts w:eastAsiaTheme="minorHAnsi"/>
                <w:sz w:val="20"/>
                <w:szCs w:val="20"/>
                <w:lang w:val="en-US"/>
              </w:rPr>
              <w:t>-</w:t>
            </w:r>
          </w:p>
        </w:tc>
        <w:tc>
          <w:tcPr>
            <w:tcW w:w="1440" w:type="dxa"/>
            <w:tcBorders>
              <w:top w:val="single" w:sz="3" w:space="0" w:color="000000"/>
              <w:left w:val="single" w:sz="4" w:space="0" w:color="auto"/>
              <w:bottom w:val="single" w:sz="4" w:space="0" w:color="000000"/>
              <w:right w:val="single" w:sz="4" w:space="0" w:color="auto"/>
            </w:tcBorders>
          </w:tcPr>
          <w:p w14:paraId="09B5BB7D" w14:textId="77777777" w:rsidR="00E73BD8" w:rsidRPr="00250E94" w:rsidRDefault="00E73BD8" w:rsidP="00B27F75">
            <w:pPr>
              <w:widowControl w:val="0"/>
              <w:spacing w:after="200" w:line="240" w:lineRule="auto"/>
              <w:jc w:val="center"/>
              <w:rPr>
                <w:rFonts w:eastAsiaTheme="minorHAnsi"/>
                <w:b/>
                <w:sz w:val="20"/>
                <w:szCs w:val="20"/>
                <w:lang w:val="en-US"/>
              </w:rPr>
            </w:pPr>
            <w:r w:rsidRPr="00250E94">
              <w:rPr>
                <w:rFonts w:eastAsiaTheme="minorHAnsi"/>
                <w:b/>
                <w:sz w:val="20"/>
                <w:szCs w:val="20"/>
                <w:lang w:val="en-US"/>
              </w:rPr>
              <w:t>No information</w:t>
            </w:r>
          </w:p>
        </w:tc>
      </w:tr>
      <w:tr w:rsidR="00E73BD8" w:rsidRPr="00250E94" w14:paraId="75E1B37B" w14:textId="77777777" w:rsidTr="00B27F75">
        <w:trPr>
          <w:trHeight w:hRule="exact" w:val="532"/>
        </w:trPr>
        <w:tc>
          <w:tcPr>
            <w:tcW w:w="1633" w:type="dxa"/>
            <w:tcBorders>
              <w:top w:val="single" w:sz="4" w:space="0" w:color="000000"/>
              <w:left w:val="single" w:sz="4" w:space="0" w:color="auto"/>
              <w:bottom w:val="single" w:sz="4" w:space="0" w:color="000000"/>
              <w:right w:val="single" w:sz="4" w:space="0" w:color="auto"/>
            </w:tcBorders>
          </w:tcPr>
          <w:p w14:paraId="7244A142" w14:textId="77777777" w:rsidR="00E73BD8" w:rsidRPr="00250E94" w:rsidRDefault="00E73BD8" w:rsidP="00B27F75">
            <w:pPr>
              <w:widowControl w:val="0"/>
              <w:spacing w:after="200" w:line="240" w:lineRule="auto"/>
              <w:rPr>
                <w:rFonts w:eastAsiaTheme="minorHAnsi"/>
                <w:sz w:val="20"/>
                <w:szCs w:val="20"/>
                <w:lang w:val="en-US"/>
              </w:rPr>
            </w:pPr>
            <w:r w:rsidRPr="00250E94">
              <w:rPr>
                <w:rFonts w:eastAsiaTheme="minorHAnsi"/>
                <w:sz w:val="20"/>
                <w:szCs w:val="20"/>
                <w:lang w:val="en-US"/>
              </w:rPr>
              <w:t>2879G, JH915</w:t>
            </w:r>
          </w:p>
        </w:tc>
        <w:tc>
          <w:tcPr>
            <w:tcW w:w="2408" w:type="dxa"/>
            <w:tcBorders>
              <w:top w:val="single" w:sz="3" w:space="0" w:color="000000"/>
              <w:left w:val="single" w:sz="4" w:space="0" w:color="auto"/>
              <w:bottom w:val="single" w:sz="4" w:space="0" w:color="000000"/>
              <w:right w:val="single" w:sz="4" w:space="0" w:color="auto"/>
            </w:tcBorders>
          </w:tcPr>
          <w:p w14:paraId="4DEB67D9" w14:textId="77777777" w:rsidR="00E73BD8" w:rsidRPr="00250E94" w:rsidRDefault="00E73BD8" w:rsidP="00B27F75">
            <w:pPr>
              <w:widowControl w:val="0"/>
              <w:spacing w:after="200" w:line="240" w:lineRule="auto"/>
              <w:rPr>
                <w:rFonts w:eastAsiaTheme="minorHAnsi"/>
                <w:sz w:val="20"/>
                <w:szCs w:val="20"/>
                <w:lang w:val="en-US"/>
              </w:rPr>
            </w:pPr>
            <w:r w:rsidRPr="00250E94">
              <w:rPr>
                <w:rFonts w:eastAsiaTheme="minorHAnsi"/>
                <w:sz w:val="20"/>
                <w:szCs w:val="20"/>
                <w:lang w:val="en-US"/>
              </w:rPr>
              <w:t>Most similar to Tell el Dab'a JH130, Southern Palestine</w:t>
            </w:r>
          </w:p>
        </w:tc>
        <w:tc>
          <w:tcPr>
            <w:tcW w:w="2524" w:type="dxa"/>
            <w:tcBorders>
              <w:top w:val="single" w:sz="3" w:space="0" w:color="000000"/>
              <w:left w:val="single" w:sz="4" w:space="0" w:color="auto"/>
              <w:bottom w:val="single" w:sz="4" w:space="0" w:color="000000"/>
              <w:right w:val="single" w:sz="4" w:space="0" w:color="auto"/>
            </w:tcBorders>
          </w:tcPr>
          <w:p w14:paraId="5AFBC7DF" w14:textId="77777777" w:rsidR="00E73BD8" w:rsidRPr="00250E94" w:rsidRDefault="00E73BD8" w:rsidP="00B27F75">
            <w:pPr>
              <w:widowControl w:val="0"/>
              <w:spacing w:after="200" w:line="240" w:lineRule="auto"/>
              <w:rPr>
                <w:rFonts w:eastAsiaTheme="minorHAnsi"/>
                <w:sz w:val="20"/>
                <w:szCs w:val="20"/>
                <w:lang w:val="en-US"/>
              </w:rPr>
            </w:pPr>
            <w:r w:rsidRPr="00250E94">
              <w:rPr>
                <w:rFonts w:eastAsiaTheme="minorHAnsi"/>
                <w:sz w:val="20"/>
                <w:szCs w:val="20"/>
                <w:lang w:val="en-US"/>
              </w:rPr>
              <w:t>Shephelah (Southern Palestine)</w:t>
            </w:r>
          </w:p>
        </w:tc>
        <w:tc>
          <w:tcPr>
            <w:tcW w:w="1256" w:type="dxa"/>
            <w:tcBorders>
              <w:top w:val="single" w:sz="3" w:space="0" w:color="000000"/>
              <w:left w:val="single" w:sz="4" w:space="0" w:color="auto"/>
              <w:bottom w:val="single" w:sz="4" w:space="0" w:color="000000"/>
              <w:right w:val="single" w:sz="4" w:space="0" w:color="auto"/>
            </w:tcBorders>
          </w:tcPr>
          <w:p w14:paraId="082FA044" w14:textId="77777777" w:rsidR="00E73BD8" w:rsidRPr="00250E94" w:rsidRDefault="00E73BD8" w:rsidP="00B27F75">
            <w:pPr>
              <w:widowControl w:val="0"/>
              <w:spacing w:after="200" w:line="240" w:lineRule="auto"/>
              <w:jc w:val="center"/>
              <w:rPr>
                <w:rFonts w:eastAsiaTheme="minorHAnsi"/>
                <w:sz w:val="20"/>
                <w:szCs w:val="20"/>
                <w:lang w:val="en-US"/>
              </w:rPr>
            </w:pPr>
            <w:r w:rsidRPr="00250E94">
              <w:rPr>
                <w:rFonts w:eastAsiaTheme="minorHAnsi"/>
                <w:sz w:val="20"/>
                <w:szCs w:val="20"/>
                <w:lang w:val="en-US"/>
              </w:rPr>
              <w:t>+</w:t>
            </w:r>
          </w:p>
        </w:tc>
        <w:tc>
          <w:tcPr>
            <w:tcW w:w="3690" w:type="dxa"/>
            <w:tcBorders>
              <w:top w:val="single" w:sz="3" w:space="0" w:color="000000"/>
              <w:left w:val="single" w:sz="4" w:space="0" w:color="auto"/>
              <w:bottom w:val="single" w:sz="4" w:space="0" w:color="000000"/>
              <w:right w:val="single" w:sz="4" w:space="0" w:color="auto"/>
            </w:tcBorders>
          </w:tcPr>
          <w:p w14:paraId="2623F38C" w14:textId="77777777" w:rsidR="00E73BD8" w:rsidRPr="00250E94" w:rsidRDefault="00E73BD8" w:rsidP="00B27F75">
            <w:pPr>
              <w:widowControl w:val="0"/>
              <w:spacing w:after="200" w:line="240" w:lineRule="auto"/>
              <w:rPr>
                <w:rFonts w:eastAsiaTheme="minorHAnsi"/>
                <w:sz w:val="20"/>
                <w:szCs w:val="20"/>
                <w:lang w:val="en-US"/>
              </w:rPr>
            </w:pPr>
            <w:r w:rsidRPr="00250E94">
              <w:rPr>
                <w:rFonts w:eastAsiaTheme="minorHAnsi"/>
                <w:sz w:val="20"/>
                <w:szCs w:val="20"/>
                <w:lang w:val="en-US"/>
              </w:rPr>
              <w:t>Northernmost Israeli coast or the Lebanese coast</w:t>
            </w:r>
          </w:p>
        </w:tc>
        <w:tc>
          <w:tcPr>
            <w:tcW w:w="1530" w:type="dxa"/>
            <w:tcBorders>
              <w:top w:val="single" w:sz="4" w:space="0" w:color="000000"/>
              <w:left w:val="single" w:sz="4" w:space="0" w:color="auto"/>
              <w:bottom w:val="single" w:sz="3" w:space="0" w:color="000000"/>
              <w:right w:val="single" w:sz="4" w:space="0" w:color="auto"/>
            </w:tcBorders>
          </w:tcPr>
          <w:p w14:paraId="4C430718" w14:textId="77777777" w:rsidR="00E73BD8" w:rsidRPr="00250E94" w:rsidRDefault="00E73BD8" w:rsidP="00B27F75">
            <w:pPr>
              <w:widowControl w:val="0"/>
              <w:spacing w:after="200" w:line="240" w:lineRule="auto"/>
              <w:jc w:val="center"/>
              <w:rPr>
                <w:rFonts w:eastAsiaTheme="minorHAnsi"/>
                <w:sz w:val="20"/>
                <w:szCs w:val="20"/>
                <w:lang w:val="en-US"/>
              </w:rPr>
            </w:pPr>
            <w:r w:rsidRPr="00250E94">
              <w:rPr>
                <w:rFonts w:eastAsiaTheme="minorHAnsi"/>
                <w:sz w:val="20"/>
                <w:szCs w:val="20"/>
                <w:lang w:val="en-US"/>
              </w:rPr>
              <w:t>-</w:t>
            </w:r>
          </w:p>
        </w:tc>
        <w:tc>
          <w:tcPr>
            <w:tcW w:w="1440" w:type="dxa"/>
            <w:tcBorders>
              <w:top w:val="single" w:sz="4" w:space="0" w:color="000000"/>
              <w:left w:val="single" w:sz="4" w:space="0" w:color="auto"/>
              <w:bottom w:val="single" w:sz="3" w:space="0" w:color="000000"/>
              <w:right w:val="single" w:sz="4" w:space="0" w:color="auto"/>
            </w:tcBorders>
          </w:tcPr>
          <w:p w14:paraId="4273F744" w14:textId="77777777" w:rsidR="00E73BD8" w:rsidRPr="00250E94" w:rsidRDefault="00E73BD8" w:rsidP="00B27F75">
            <w:pPr>
              <w:widowControl w:val="0"/>
              <w:spacing w:after="200" w:line="240" w:lineRule="auto"/>
              <w:jc w:val="center"/>
              <w:rPr>
                <w:rFonts w:eastAsiaTheme="minorHAnsi"/>
                <w:b/>
                <w:sz w:val="20"/>
                <w:szCs w:val="20"/>
                <w:lang w:val="en-US"/>
              </w:rPr>
            </w:pPr>
            <w:r w:rsidRPr="00250E94">
              <w:rPr>
                <w:rFonts w:eastAsiaTheme="minorHAnsi"/>
                <w:b/>
                <w:sz w:val="20"/>
                <w:szCs w:val="20"/>
                <w:lang w:val="en-US"/>
              </w:rPr>
              <w:t>-</w:t>
            </w:r>
          </w:p>
        </w:tc>
      </w:tr>
      <w:tr w:rsidR="00E73BD8" w:rsidRPr="00250E94" w14:paraId="660EF6A0" w14:textId="77777777" w:rsidTr="00B27F75">
        <w:trPr>
          <w:trHeight w:hRule="exact" w:val="289"/>
        </w:trPr>
        <w:tc>
          <w:tcPr>
            <w:tcW w:w="1633" w:type="dxa"/>
            <w:tcBorders>
              <w:top w:val="single" w:sz="4" w:space="0" w:color="000000"/>
              <w:left w:val="single" w:sz="4" w:space="0" w:color="auto"/>
              <w:bottom w:val="single" w:sz="4" w:space="0" w:color="000000"/>
              <w:right w:val="single" w:sz="4" w:space="0" w:color="auto"/>
            </w:tcBorders>
          </w:tcPr>
          <w:p w14:paraId="6EAF7655" w14:textId="77777777" w:rsidR="00E73BD8" w:rsidRPr="00250E94" w:rsidRDefault="00E73BD8" w:rsidP="00B27F75">
            <w:pPr>
              <w:widowControl w:val="0"/>
              <w:spacing w:after="200" w:line="240" w:lineRule="auto"/>
              <w:rPr>
                <w:rFonts w:eastAsiaTheme="minorHAnsi"/>
                <w:sz w:val="20"/>
                <w:szCs w:val="20"/>
                <w:lang w:val="en-US"/>
              </w:rPr>
            </w:pPr>
            <w:r w:rsidRPr="00250E94">
              <w:rPr>
                <w:rFonts w:eastAsiaTheme="minorHAnsi"/>
                <w:sz w:val="20"/>
                <w:szCs w:val="20"/>
                <w:lang w:val="en-US"/>
              </w:rPr>
              <w:t>3336A, MB025</w:t>
            </w:r>
          </w:p>
        </w:tc>
        <w:tc>
          <w:tcPr>
            <w:tcW w:w="2408" w:type="dxa"/>
            <w:tcBorders>
              <w:top w:val="single" w:sz="4" w:space="0" w:color="000000"/>
              <w:left w:val="single" w:sz="4" w:space="0" w:color="auto"/>
              <w:bottom w:val="single" w:sz="4" w:space="0" w:color="000000"/>
              <w:right w:val="single" w:sz="4" w:space="0" w:color="auto"/>
            </w:tcBorders>
          </w:tcPr>
          <w:p w14:paraId="5C5B966F" w14:textId="77777777" w:rsidR="00E73BD8" w:rsidRPr="00250E94" w:rsidRDefault="00E73BD8" w:rsidP="00B27F75">
            <w:pPr>
              <w:widowControl w:val="0"/>
              <w:spacing w:after="200" w:line="240" w:lineRule="auto"/>
              <w:rPr>
                <w:rFonts w:eastAsiaTheme="minorHAnsi"/>
                <w:sz w:val="20"/>
                <w:szCs w:val="20"/>
                <w:lang w:val="en-US"/>
              </w:rPr>
            </w:pPr>
            <w:r w:rsidRPr="00250E94">
              <w:rPr>
                <w:rFonts w:eastAsiaTheme="minorHAnsi"/>
                <w:sz w:val="20"/>
                <w:szCs w:val="20"/>
                <w:lang w:val="en-US"/>
              </w:rPr>
              <w:t>Southern Palestine</w:t>
            </w:r>
          </w:p>
        </w:tc>
        <w:tc>
          <w:tcPr>
            <w:tcW w:w="2524" w:type="dxa"/>
            <w:tcBorders>
              <w:top w:val="single" w:sz="4" w:space="0" w:color="000000"/>
              <w:left w:val="single" w:sz="4" w:space="0" w:color="auto"/>
              <w:bottom w:val="single" w:sz="3" w:space="0" w:color="000000"/>
              <w:right w:val="single" w:sz="4" w:space="0" w:color="auto"/>
            </w:tcBorders>
          </w:tcPr>
          <w:p w14:paraId="40A70E65" w14:textId="77777777" w:rsidR="00E73BD8" w:rsidRPr="00250E94" w:rsidRDefault="00E73BD8" w:rsidP="00B27F75">
            <w:pPr>
              <w:widowControl w:val="0"/>
              <w:spacing w:after="200" w:line="240" w:lineRule="auto"/>
              <w:rPr>
                <w:rFonts w:eastAsiaTheme="minorHAnsi"/>
                <w:sz w:val="20"/>
                <w:szCs w:val="20"/>
                <w:lang w:val="en-US"/>
              </w:rPr>
            </w:pPr>
            <w:r w:rsidRPr="00250E94">
              <w:rPr>
                <w:rFonts w:eastAsiaTheme="minorHAnsi"/>
                <w:sz w:val="20"/>
                <w:szCs w:val="20"/>
                <w:lang w:val="en-US"/>
              </w:rPr>
              <w:t>Not recorded</w:t>
            </w:r>
          </w:p>
        </w:tc>
        <w:tc>
          <w:tcPr>
            <w:tcW w:w="1256" w:type="dxa"/>
            <w:tcBorders>
              <w:top w:val="single" w:sz="4" w:space="0" w:color="000000"/>
              <w:left w:val="single" w:sz="4" w:space="0" w:color="auto"/>
              <w:bottom w:val="single" w:sz="3" w:space="0" w:color="000000"/>
              <w:right w:val="single" w:sz="4" w:space="0" w:color="auto"/>
            </w:tcBorders>
          </w:tcPr>
          <w:p w14:paraId="63E00C03" w14:textId="77777777" w:rsidR="00E73BD8" w:rsidRPr="00250E94" w:rsidRDefault="00E73BD8" w:rsidP="00B27F75">
            <w:pPr>
              <w:widowControl w:val="0"/>
              <w:spacing w:after="200" w:line="240" w:lineRule="auto"/>
              <w:jc w:val="center"/>
              <w:rPr>
                <w:rFonts w:eastAsiaTheme="minorHAnsi"/>
                <w:sz w:val="20"/>
                <w:szCs w:val="20"/>
                <w:lang w:val="en-US"/>
              </w:rPr>
            </w:pPr>
            <w:r w:rsidRPr="00250E94">
              <w:rPr>
                <w:rFonts w:eastAsiaTheme="minorHAnsi"/>
                <w:sz w:val="20"/>
                <w:szCs w:val="20"/>
                <w:lang w:val="en-US"/>
              </w:rPr>
              <w:t>?</w:t>
            </w:r>
          </w:p>
        </w:tc>
        <w:tc>
          <w:tcPr>
            <w:tcW w:w="3690" w:type="dxa"/>
            <w:tcBorders>
              <w:top w:val="single" w:sz="4" w:space="0" w:color="000000"/>
              <w:left w:val="single" w:sz="4" w:space="0" w:color="auto"/>
              <w:bottom w:val="single" w:sz="3" w:space="0" w:color="000000"/>
              <w:right w:val="single" w:sz="4" w:space="0" w:color="auto"/>
            </w:tcBorders>
          </w:tcPr>
          <w:p w14:paraId="2539A855" w14:textId="77777777" w:rsidR="00E73BD8" w:rsidRPr="00250E94" w:rsidRDefault="00E73BD8" w:rsidP="00B27F75">
            <w:pPr>
              <w:widowControl w:val="0"/>
              <w:spacing w:after="200" w:line="240" w:lineRule="auto"/>
              <w:rPr>
                <w:rFonts w:eastAsiaTheme="minorHAnsi"/>
                <w:sz w:val="20"/>
                <w:szCs w:val="20"/>
                <w:lang w:val="en-US"/>
              </w:rPr>
            </w:pPr>
            <w:r w:rsidRPr="00250E94">
              <w:rPr>
                <w:rFonts w:eastAsiaTheme="minorHAnsi"/>
                <w:sz w:val="20"/>
                <w:szCs w:val="20"/>
                <w:lang w:val="en-US"/>
              </w:rPr>
              <w:t>Northernmost Israeli coast or the Lebanese coast</w:t>
            </w:r>
          </w:p>
        </w:tc>
        <w:tc>
          <w:tcPr>
            <w:tcW w:w="1530" w:type="dxa"/>
            <w:tcBorders>
              <w:top w:val="single" w:sz="3" w:space="0" w:color="000000"/>
              <w:left w:val="single" w:sz="4" w:space="0" w:color="auto"/>
              <w:bottom w:val="single" w:sz="3" w:space="0" w:color="000000"/>
              <w:right w:val="single" w:sz="4" w:space="0" w:color="auto"/>
            </w:tcBorders>
          </w:tcPr>
          <w:p w14:paraId="2FFB852B" w14:textId="77777777" w:rsidR="00E73BD8" w:rsidRPr="00250E94" w:rsidRDefault="00E73BD8" w:rsidP="00B27F75">
            <w:pPr>
              <w:widowControl w:val="0"/>
              <w:spacing w:after="200" w:line="240" w:lineRule="auto"/>
              <w:jc w:val="center"/>
              <w:rPr>
                <w:rFonts w:eastAsiaTheme="minorHAnsi"/>
                <w:sz w:val="20"/>
                <w:szCs w:val="20"/>
                <w:lang w:val="en-US"/>
              </w:rPr>
            </w:pPr>
            <w:r w:rsidRPr="00250E94">
              <w:rPr>
                <w:rFonts w:eastAsiaTheme="minorHAnsi"/>
                <w:sz w:val="20"/>
                <w:szCs w:val="20"/>
                <w:lang w:val="en-US"/>
              </w:rPr>
              <w:t>-</w:t>
            </w:r>
          </w:p>
        </w:tc>
        <w:tc>
          <w:tcPr>
            <w:tcW w:w="1440" w:type="dxa"/>
            <w:tcBorders>
              <w:top w:val="single" w:sz="3" w:space="0" w:color="000000"/>
              <w:left w:val="single" w:sz="4" w:space="0" w:color="auto"/>
              <w:bottom w:val="single" w:sz="3" w:space="0" w:color="000000"/>
              <w:right w:val="single" w:sz="4" w:space="0" w:color="auto"/>
            </w:tcBorders>
          </w:tcPr>
          <w:p w14:paraId="5F30969D" w14:textId="77777777" w:rsidR="00E73BD8" w:rsidRPr="00250E94" w:rsidRDefault="00E73BD8" w:rsidP="00B27F75">
            <w:pPr>
              <w:widowControl w:val="0"/>
              <w:spacing w:after="200" w:line="240" w:lineRule="auto"/>
              <w:jc w:val="center"/>
              <w:rPr>
                <w:rFonts w:eastAsiaTheme="minorHAnsi"/>
                <w:b/>
                <w:sz w:val="20"/>
                <w:szCs w:val="20"/>
                <w:lang w:val="en-US"/>
              </w:rPr>
            </w:pPr>
            <w:r w:rsidRPr="00250E94">
              <w:rPr>
                <w:rFonts w:eastAsiaTheme="minorHAnsi"/>
                <w:b/>
                <w:sz w:val="20"/>
                <w:szCs w:val="20"/>
                <w:lang w:val="en-US"/>
              </w:rPr>
              <w:t>No information</w:t>
            </w:r>
          </w:p>
        </w:tc>
      </w:tr>
      <w:tr w:rsidR="00E73BD8" w:rsidRPr="00250E94" w14:paraId="5EA0E740" w14:textId="77777777" w:rsidTr="00B27F75">
        <w:trPr>
          <w:trHeight w:hRule="exact" w:val="514"/>
        </w:trPr>
        <w:tc>
          <w:tcPr>
            <w:tcW w:w="1633" w:type="dxa"/>
            <w:tcBorders>
              <w:top w:val="single" w:sz="4" w:space="0" w:color="000000"/>
              <w:left w:val="single" w:sz="4" w:space="0" w:color="auto"/>
              <w:bottom w:val="single" w:sz="4" w:space="0" w:color="000000"/>
              <w:right w:val="single" w:sz="4" w:space="0" w:color="auto"/>
            </w:tcBorders>
          </w:tcPr>
          <w:p w14:paraId="6718400C" w14:textId="77777777" w:rsidR="00E73BD8" w:rsidRPr="00250E94" w:rsidRDefault="00E73BD8" w:rsidP="00B27F75">
            <w:pPr>
              <w:widowControl w:val="0"/>
              <w:spacing w:after="200" w:line="240" w:lineRule="auto"/>
              <w:rPr>
                <w:rFonts w:eastAsiaTheme="minorHAnsi"/>
                <w:sz w:val="20"/>
                <w:szCs w:val="20"/>
                <w:lang w:val="en-US"/>
              </w:rPr>
            </w:pPr>
            <w:r w:rsidRPr="00250E94">
              <w:rPr>
                <w:rFonts w:eastAsiaTheme="minorHAnsi"/>
                <w:sz w:val="20"/>
                <w:szCs w:val="20"/>
                <w:lang w:val="en-US"/>
              </w:rPr>
              <w:t>3423C, JH916</w:t>
            </w:r>
          </w:p>
        </w:tc>
        <w:tc>
          <w:tcPr>
            <w:tcW w:w="2408" w:type="dxa"/>
            <w:tcBorders>
              <w:top w:val="single" w:sz="4" w:space="0" w:color="000000"/>
              <w:left w:val="single" w:sz="4" w:space="0" w:color="auto"/>
              <w:bottom w:val="single" w:sz="4" w:space="0" w:color="000000"/>
              <w:right w:val="single" w:sz="4" w:space="0" w:color="auto"/>
            </w:tcBorders>
          </w:tcPr>
          <w:p w14:paraId="285E0A17" w14:textId="77777777" w:rsidR="00E73BD8" w:rsidRPr="00250E94" w:rsidRDefault="00E73BD8" w:rsidP="00B27F75">
            <w:pPr>
              <w:widowControl w:val="0"/>
              <w:spacing w:after="200" w:line="240" w:lineRule="auto"/>
              <w:rPr>
                <w:rFonts w:eastAsiaTheme="minorHAnsi"/>
                <w:sz w:val="20"/>
                <w:szCs w:val="20"/>
                <w:lang w:val="en-US"/>
              </w:rPr>
            </w:pPr>
            <w:r w:rsidRPr="00250E94">
              <w:rPr>
                <w:rFonts w:eastAsiaTheme="minorHAnsi"/>
                <w:sz w:val="20"/>
                <w:szCs w:val="20"/>
                <w:lang w:val="en-US"/>
              </w:rPr>
              <w:t>?</w:t>
            </w:r>
          </w:p>
        </w:tc>
        <w:tc>
          <w:tcPr>
            <w:tcW w:w="2524" w:type="dxa"/>
            <w:tcBorders>
              <w:top w:val="single" w:sz="3" w:space="0" w:color="000000"/>
              <w:left w:val="single" w:sz="4" w:space="0" w:color="auto"/>
              <w:bottom w:val="single" w:sz="4" w:space="0" w:color="000000"/>
              <w:right w:val="single" w:sz="4" w:space="0" w:color="auto"/>
            </w:tcBorders>
          </w:tcPr>
          <w:p w14:paraId="3AB5E641" w14:textId="77777777" w:rsidR="00E73BD8" w:rsidRPr="00250E94" w:rsidRDefault="00E73BD8" w:rsidP="00B27F75">
            <w:pPr>
              <w:widowControl w:val="0"/>
              <w:spacing w:after="200" w:line="240" w:lineRule="auto"/>
              <w:rPr>
                <w:rFonts w:eastAsiaTheme="minorHAnsi"/>
                <w:sz w:val="20"/>
                <w:szCs w:val="20"/>
                <w:lang w:val="en-US"/>
              </w:rPr>
            </w:pPr>
            <w:r w:rsidRPr="00250E94">
              <w:rPr>
                <w:rFonts w:eastAsiaTheme="minorHAnsi"/>
                <w:sz w:val="20"/>
                <w:szCs w:val="20"/>
                <w:lang w:val="en-US"/>
              </w:rPr>
              <w:t>Cyprus</w:t>
            </w:r>
          </w:p>
        </w:tc>
        <w:tc>
          <w:tcPr>
            <w:tcW w:w="1256" w:type="dxa"/>
            <w:tcBorders>
              <w:top w:val="single" w:sz="3" w:space="0" w:color="000000"/>
              <w:left w:val="single" w:sz="4" w:space="0" w:color="auto"/>
              <w:bottom w:val="single" w:sz="4" w:space="0" w:color="000000"/>
              <w:right w:val="single" w:sz="4" w:space="0" w:color="auto"/>
            </w:tcBorders>
          </w:tcPr>
          <w:p w14:paraId="6F4F138B" w14:textId="77777777" w:rsidR="00E73BD8" w:rsidRPr="00250E94" w:rsidRDefault="00E73BD8" w:rsidP="00B27F75">
            <w:pPr>
              <w:widowControl w:val="0"/>
              <w:spacing w:after="200" w:line="240" w:lineRule="auto"/>
              <w:jc w:val="center"/>
              <w:rPr>
                <w:rFonts w:eastAsiaTheme="minorHAnsi"/>
                <w:sz w:val="20"/>
                <w:szCs w:val="20"/>
                <w:lang w:val="en-US"/>
              </w:rPr>
            </w:pPr>
            <w:r w:rsidRPr="00250E94">
              <w:rPr>
                <w:rFonts w:eastAsiaTheme="minorHAnsi"/>
                <w:sz w:val="20"/>
                <w:szCs w:val="20"/>
                <w:lang w:val="en-US"/>
              </w:rPr>
              <w:t>-</w:t>
            </w:r>
          </w:p>
        </w:tc>
        <w:tc>
          <w:tcPr>
            <w:tcW w:w="3690" w:type="dxa"/>
            <w:tcBorders>
              <w:top w:val="single" w:sz="3" w:space="0" w:color="000000"/>
              <w:left w:val="single" w:sz="4" w:space="0" w:color="auto"/>
              <w:bottom w:val="single" w:sz="4" w:space="0" w:color="000000"/>
              <w:right w:val="single" w:sz="4" w:space="0" w:color="auto"/>
            </w:tcBorders>
          </w:tcPr>
          <w:p w14:paraId="47ADA3B9" w14:textId="77777777" w:rsidR="00E73BD8" w:rsidRPr="00250E94" w:rsidRDefault="00E73BD8" w:rsidP="00B27F75">
            <w:pPr>
              <w:widowControl w:val="0"/>
              <w:spacing w:after="200" w:line="240" w:lineRule="auto"/>
              <w:rPr>
                <w:rFonts w:eastAsiaTheme="minorHAnsi"/>
                <w:sz w:val="20"/>
                <w:szCs w:val="20"/>
                <w:lang w:val="en-US"/>
              </w:rPr>
            </w:pPr>
            <w:bookmarkStart w:id="66" w:name="_Hlk8455634"/>
            <w:r w:rsidRPr="00250E94">
              <w:rPr>
                <w:rFonts w:eastAsiaTheme="minorHAnsi"/>
                <w:sz w:val="20"/>
                <w:szCs w:val="20"/>
                <w:lang w:val="en-US"/>
              </w:rPr>
              <w:t>Northwestern Syria</w:t>
            </w:r>
            <w:bookmarkEnd w:id="66"/>
            <w:r w:rsidRPr="00250E94">
              <w:rPr>
                <w:rFonts w:eastAsiaTheme="minorHAnsi"/>
                <w:sz w:val="20"/>
                <w:szCs w:val="20"/>
                <w:lang w:val="en-US"/>
              </w:rPr>
              <w:t>: Ugarit, Amuq area or the Cilician coast or Cyprus</w:t>
            </w:r>
          </w:p>
        </w:tc>
        <w:tc>
          <w:tcPr>
            <w:tcW w:w="1530" w:type="dxa"/>
            <w:tcBorders>
              <w:top w:val="single" w:sz="3" w:space="0" w:color="000000"/>
              <w:left w:val="single" w:sz="4" w:space="0" w:color="auto"/>
              <w:bottom w:val="single" w:sz="4" w:space="0" w:color="000000"/>
              <w:right w:val="single" w:sz="4" w:space="0" w:color="auto"/>
            </w:tcBorders>
          </w:tcPr>
          <w:p w14:paraId="6B6EBD28" w14:textId="77777777" w:rsidR="00E73BD8" w:rsidRPr="00250E94" w:rsidRDefault="00E73BD8" w:rsidP="00B27F75">
            <w:pPr>
              <w:widowControl w:val="0"/>
              <w:spacing w:after="200" w:line="240" w:lineRule="auto"/>
              <w:jc w:val="center"/>
              <w:rPr>
                <w:rFonts w:eastAsiaTheme="minorHAnsi"/>
                <w:sz w:val="20"/>
                <w:szCs w:val="20"/>
                <w:lang w:val="en-US"/>
              </w:rPr>
            </w:pPr>
            <w:r w:rsidRPr="00250E94">
              <w:rPr>
                <w:rFonts w:eastAsiaTheme="minorHAnsi"/>
                <w:sz w:val="20"/>
                <w:szCs w:val="20"/>
                <w:lang w:val="en-US"/>
              </w:rPr>
              <w:t>N.D. (should be -)</w:t>
            </w:r>
          </w:p>
        </w:tc>
        <w:tc>
          <w:tcPr>
            <w:tcW w:w="1440" w:type="dxa"/>
            <w:tcBorders>
              <w:top w:val="single" w:sz="3" w:space="0" w:color="000000"/>
              <w:left w:val="single" w:sz="4" w:space="0" w:color="auto"/>
              <w:bottom w:val="single" w:sz="4" w:space="0" w:color="000000"/>
              <w:right w:val="single" w:sz="4" w:space="0" w:color="auto"/>
            </w:tcBorders>
          </w:tcPr>
          <w:p w14:paraId="125B9647" w14:textId="77777777" w:rsidR="00E73BD8" w:rsidRPr="00250E94" w:rsidRDefault="00E73BD8" w:rsidP="00B27F75">
            <w:pPr>
              <w:widowControl w:val="0"/>
              <w:spacing w:after="200" w:line="240" w:lineRule="auto"/>
              <w:jc w:val="center"/>
              <w:rPr>
                <w:rFonts w:eastAsiaTheme="minorHAnsi"/>
                <w:b/>
                <w:sz w:val="20"/>
                <w:szCs w:val="20"/>
                <w:lang w:val="en-US"/>
              </w:rPr>
            </w:pPr>
            <w:r w:rsidRPr="00250E94">
              <w:rPr>
                <w:rFonts w:eastAsiaTheme="minorHAnsi"/>
                <w:b/>
                <w:sz w:val="20"/>
                <w:szCs w:val="20"/>
                <w:lang w:val="en-US"/>
              </w:rPr>
              <w:t>Possibly +</w:t>
            </w:r>
          </w:p>
        </w:tc>
      </w:tr>
      <w:tr w:rsidR="00E73BD8" w:rsidRPr="00250E94" w14:paraId="7F899C3D" w14:textId="77777777" w:rsidTr="00B27F75">
        <w:trPr>
          <w:trHeight w:hRule="exact" w:val="478"/>
        </w:trPr>
        <w:tc>
          <w:tcPr>
            <w:tcW w:w="1633" w:type="dxa"/>
            <w:tcBorders>
              <w:top w:val="single" w:sz="4" w:space="0" w:color="000000"/>
              <w:left w:val="single" w:sz="4" w:space="0" w:color="auto"/>
              <w:bottom w:val="single" w:sz="4" w:space="0" w:color="000000"/>
              <w:right w:val="single" w:sz="4" w:space="0" w:color="auto"/>
            </w:tcBorders>
          </w:tcPr>
          <w:p w14:paraId="5DD46AB3" w14:textId="77777777" w:rsidR="00E73BD8" w:rsidRPr="00250E94" w:rsidRDefault="00E73BD8" w:rsidP="00B27F75">
            <w:pPr>
              <w:widowControl w:val="0"/>
              <w:spacing w:after="200" w:line="240" w:lineRule="auto"/>
              <w:rPr>
                <w:rFonts w:eastAsiaTheme="minorHAnsi"/>
                <w:sz w:val="20"/>
                <w:szCs w:val="20"/>
                <w:lang w:val="en-US"/>
              </w:rPr>
            </w:pPr>
            <w:r w:rsidRPr="00250E94">
              <w:rPr>
                <w:rFonts w:eastAsiaTheme="minorHAnsi"/>
                <w:sz w:val="20"/>
                <w:szCs w:val="20"/>
                <w:lang w:val="en-US"/>
              </w:rPr>
              <w:t>3955A, JH075</w:t>
            </w:r>
          </w:p>
        </w:tc>
        <w:tc>
          <w:tcPr>
            <w:tcW w:w="2408" w:type="dxa"/>
            <w:tcBorders>
              <w:top w:val="single" w:sz="4" w:space="0" w:color="000000"/>
              <w:left w:val="single" w:sz="4" w:space="0" w:color="auto"/>
              <w:bottom w:val="single" w:sz="4" w:space="0" w:color="000000"/>
              <w:right w:val="single" w:sz="4" w:space="0" w:color="auto"/>
            </w:tcBorders>
          </w:tcPr>
          <w:p w14:paraId="390E36CF" w14:textId="77777777" w:rsidR="00E73BD8" w:rsidRPr="00250E94" w:rsidRDefault="00E73BD8" w:rsidP="00B27F75">
            <w:pPr>
              <w:widowControl w:val="0"/>
              <w:spacing w:after="200" w:line="240" w:lineRule="auto"/>
              <w:rPr>
                <w:rFonts w:eastAsiaTheme="minorHAnsi"/>
                <w:sz w:val="20"/>
                <w:szCs w:val="20"/>
                <w:lang w:val="en-US"/>
              </w:rPr>
            </w:pPr>
            <w:r w:rsidRPr="00250E94">
              <w:rPr>
                <w:rFonts w:eastAsiaTheme="minorHAnsi"/>
                <w:sz w:val="20"/>
                <w:szCs w:val="20"/>
                <w:lang w:val="en-US"/>
              </w:rPr>
              <w:t>? (possibly Southern Palestine)</w:t>
            </w:r>
          </w:p>
        </w:tc>
        <w:tc>
          <w:tcPr>
            <w:tcW w:w="2524" w:type="dxa"/>
            <w:tcBorders>
              <w:top w:val="single" w:sz="4" w:space="0" w:color="000000"/>
              <w:left w:val="single" w:sz="4" w:space="0" w:color="auto"/>
              <w:bottom w:val="single" w:sz="4" w:space="0" w:color="000000"/>
              <w:right w:val="single" w:sz="4" w:space="0" w:color="auto"/>
            </w:tcBorders>
          </w:tcPr>
          <w:p w14:paraId="71597E9C" w14:textId="77777777" w:rsidR="00E73BD8" w:rsidRPr="00250E94" w:rsidRDefault="00E73BD8" w:rsidP="00B27F75">
            <w:pPr>
              <w:widowControl w:val="0"/>
              <w:spacing w:after="200" w:line="240" w:lineRule="auto"/>
              <w:rPr>
                <w:rFonts w:eastAsiaTheme="minorHAnsi"/>
                <w:sz w:val="20"/>
                <w:szCs w:val="20"/>
                <w:lang w:val="en-US"/>
              </w:rPr>
            </w:pPr>
            <w:r w:rsidRPr="00250E94">
              <w:rPr>
                <w:rFonts w:eastAsiaTheme="minorHAnsi"/>
                <w:sz w:val="20"/>
                <w:szCs w:val="20"/>
                <w:lang w:val="en-US"/>
              </w:rPr>
              <w:t>Shephelah (Southern Palestine)</w:t>
            </w:r>
          </w:p>
        </w:tc>
        <w:tc>
          <w:tcPr>
            <w:tcW w:w="1256" w:type="dxa"/>
            <w:tcBorders>
              <w:top w:val="single" w:sz="4" w:space="0" w:color="000000"/>
              <w:left w:val="single" w:sz="4" w:space="0" w:color="auto"/>
              <w:bottom w:val="single" w:sz="4" w:space="0" w:color="000000"/>
              <w:right w:val="single" w:sz="4" w:space="0" w:color="auto"/>
            </w:tcBorders>
          </w:tcPr>
          <w:p w14:paraId="115B1798" w14:textId="77777777" w:rsidR="00E73BD8" w:rsidRPr="00250E94" w:rsidRDefault="00E73BD8" w:rsidP="00B27F75">
            <w:pPr>
              <w:widowControl w:val="0"/>
              <w:spacing w:after="200" w:line="240" w:lineRule="auto"/>
              <w:jc w:val="center"/>
              <w:rPr>
                <w:rFonts w:eastAsiaTheme="minorHAnsi"/>
                <w:sz w:val="20"/>
                <w:szCs w:val="20"/>
                <w:lang w:val="en-US"/>
              </w:rPr>
            </w:pPr>
            <w:r w:rsidRPr="00250E94">
              <w:rPr>
                <w:rFonts w:eastAsiaTheme="minorHAnsi"/>
                <w:sz w:val="20"/>
                <w:szCs w:val="20"/>
                <w:lang w:val="en-US"/>
              </w:rPr>
              <w:t>+</w:t>
            </w:r>
          </w:p>
        </w:tc>
        <w:tc>
          <w:tcPr>
            <w:tcW w:w="3690" w:type="dxa"/>
            <w:tcBorders>
              <w:top w:val="single" w:sz="4" w:space="0" w:color="000000"/>
              <w:left w:val="single" w:sz="4" w:space="0" w:color="auto"/>
              <w:bottom w:val="single" w:sz="4" w:space="0" w:color="000000"/>
              <w:right w:val="single" w:sz="4" w:space="0" w:color="auto"/>
            </w:tcBorders>
          </w:tcPr>
          <w:p w14:paraId="6EA4CB80" w14:textId="77777777" w:rsidR="00E73BD8" w:rsidRPr="00250E94" w:rsidRDefault="00E73BD8" w:rsidP="00B27F75">
            <w:pPr>
              <w:widowControl w:val="0"/>
              <w:spacing w:after="200" w:line="240" w:lineRule="auto"/>
              <w:rPr>
                <w:rFonts w:eastAsiaTheme="minorHAnsi"/>
                <w:sz w:val="20"/>
                <w:szCs w:val="20"/>
                <w:lang w:val="en-US"/>
              </w:rPr>
            </w:pPr>
            <w:r w:rsidRPr="00250E94">
              <w:rPr>
                <w:rFonts w:eastAsiaTheme="minorHAnsi"/>
                <w:sz w:val="20"/>
                <w:szCs w:val="20"/>
                <w:lang w:val="en-US"/>
              </w:rPr>
              <w:t>Lebanon east of the coast line Beirut-Byblos</w:t>
            </w:r>
          </w:p>
        </w:tc>
        <w:tc>
          <w:tcPr>
            <w:tcW w:w="1530" w:type="dxa"/>
            <w:tcBorders>
              <w:top w:val="single" w:sz="4" w:space="0" w:color="000000"/>
              <w:left w:val="single" w:sz="4" w:space="0" w:color="auto"/>
              <w:bottom w:val="single" w:sz="4" w:space="0" w:color="000000"/>
              <w:right w:val="single" w:sz="4" w:space="0" w:color="auto"/>
            </w:tcBorders>
          </w:tcPr>
          <w:p w14:paraId="431FF0ED" w14:textId="77777777" w:rsidR="00E73BD8" w:rsidRPr="00250E94" w:rsidRDefault="00E73BD8" w:rsidP="00B27F75">
            <w:pPr>
              <w:widowControl w:val="0"/>
              <w:spacing w:after="200" w:line="240" w:lineRule="auto"/>
              <w:jc w:val="center"/>
              <w:rPr>
                <w:rFonts w:eastAsiaTheme="minorHAnsi"/>
                <w:sz w:val="20"/>
                <w:szCs w:val="20"/>
                <w:lang w:val="en-US"/>
              </w:rPr>
            </w:pPr>
            <w:r w:rsidRPr="00250E94">
              <w:rPr>
                <w:rFonts w:eastAsiaTheme="minorHAnsi"/>
                <w:sz w:val="20"/>
                <w:szCs w:val="20"/>
                <w:lang w:val="en-US"/>
              </w:rPr>
              <w:t>-</w:t>
            </w:r>
          </w:p>
        </w:tc>
        <w:tc>
          <w:tcPr>
            <w:tcW w:w="1440" w:type="dxa"/>
            <w:tcBorders>
              <w:top w:val="single" w:sz="4" w:space="0" w:color="000000"/>
              <w:left w:val="single" w:sz="4" w:space="0" w:color="auto"/>
              <w:bottom w:val="single" w:sz="4" w:space="0" w:color="000000"/>
              <w:right w:val="single" w:sz="4" w:space="0" w:color="auto"/>
            </w:tcBorders>
          </w:tcPr>
          <w:p w14:paraId="3B6A7EA7" w14:textId="77777777" w:rsidR="00E73BD8" w:rsidRPr="00250E94" w:rsidRDefault="00E73BD8" w:rsidP="00B27F75">
            <w:pPr>
              <w:widowControl w:val="0"/>
              <w:spacing w:after="200" w:line="240" w:lineRule="auto"/>
              <w:jc w:val="center"/>
              <w:rPr>
                <w:rFonts w:eastAsiaTheme="minorHAnsi"/>
                <w:b/>
                <w:sz w:val="20"/>
                <w:szCs w:val="20"/>
                <w:lang w:val="en-US"/>
              </w:rPr>
            </w:pPr>
            <w:r w:rsidRPr="00250E94">
              <w:rPr>
                <w:rFonts w:eastAsiaTheme="minorHAnsi"/>
                <w:b/>
                <w:sz w:val="20"/>
                <w:szCs w:val="20"/>
                <w:lang w:val="en-US"/>
              </w:rPr>
              <w:t>-</w:t>
            </w:r>
          </w:p>
        </w:tc>
      </w:tr>
      <w:tr w:rsidR="00E73BD8" w:rsidRPr="00250E94" w14:paraId="5DFC01FA" w14:textId="77777777" w:rsidTr="00B27F75">
        <w:trPr>
          <w:trHeight w:hRule="exact" w:val="622"/>
        </w:trPr>
        <w:tc>
          <w:tcPr>
            <w:tcW w:w="1633" w:type="dxa"/>
            <w:tcBorders>
              <w:top w:val="single" w:sz="4" w:space="0" w:color="000000"/>
              <w:left w:val="single" w:sz="4" w:space="0" w:color="auto"/>
              <w:bottom w:val="single" w:sz="4" w:space="0" w:color="000000"/>
              <w:right w:val="single" w:sz="4" w:space="0" w:color="auto"/>
            </w:tcBorders>
          </w:tcPr>
          <w:p w14:paraId="5D3BCC9D" w14:textId="77777777" w:rsidR="00E73BD8" w:rsidRPr="00250E94" w:rsidRDefault="00E73BD8" w:rsidP="00B27F75">
            <w:pPr>
              <w:widowControl w:val="0"/>
              <w:spacing w:after="200" w:line="240" w:lineRule="auto"/>
              <w:rPr>
                <w:rFonts w:eastAsiaTheme="minorHAnsi"/>
                <w:sz w:val="20"/>
                <w:szCs w:val="20"/>
                <w:lang w:val="en-US"/>
              </w:rPr>
            </w:pPr>
            <w:r w:rsidRPr="00250E94">
              <w:rPr>
                <w:rFonts w:eastAsiaTheme="minorHAnsi"/>
                <w:sz w:val="20"/>
                <w:szCs w:val="20"/>
                <w:lang w:val="en-US"/>
              </w:rPr>
              <w:t>3959B, JH077</w:t>
            </w:r>
          </w:p>
        </w:tc>
        <w:tc>
          <w:tcPr>
            <w:tcW w:w="2408" w:type="dxa"/>
            <w:tcBorders>
              <w:top w:val="single" w:sz="4" w:space="0" w:color="000000"/>
              <w:left w:val="single" w:sz="4" w:space="0" w:color="auto"/>
              <w:bottom w:val="single" w:sz="4" w:space="0" w:color="000000"/>
              <w:right w:val="single" w:sz="4" w:space="0" w:color="auto"/>
            </w:tcBorders>
          </w:tcPr>
          <w:p w14:paraId="5A2597FF" w14:textId="77777777" w:rsidR="00E73BD8" w:rsidRPr="00250E94" w:rsidRDefault="00E73BD8" w:rsidP="00B27F75">
            <w:pPr>
              <w:widowControl w:val="0"/>
              <w:spacing w:after="200" w:line="240" w:lineRule="auto"/>
              <w:rPr>
                <w:rFonts w:eastAsiaTheme="minorHAnsi"/>
                <w:sz w:val="20"/>
                <w:szCs w:val="20"/>
                <w:lang w:val="en-US"/>
              </w:rPr>
            </w:pPr>
            <w:r w:rsidRPr="00250E94">
              <w:rPr>
                <w:rFonts w:eastAsiaTheme="minorHAnsi"/>
                <w:sz w:val="20"/>
                <w:szCs w:val="20"/>
                <w:lang w:val="en-US"/>
              </w:rPr>
              <w:t>? (possibly Southern Palestine)</w:t>
            </w:r>
          </w:p>
        </w:tc>
        <w:tc>
          <w:tcPr>
            <w:tcW w:w="2524" w:type="dxa"/>
            <w:tcBorders>
              <w:top w:val="single" w:sz="4" w:space="0" w:color="000000"/>
              <w:left w:val="single" w:sz="4" w:space="0" w:color="auto"/>
              <w:bottom w:val="single" w:sz="4" w:space="0" w:color="000000"/>
              <w:right w:val="single" w:sz="4" w:space="0" w:color="auto"/>
            </w:tcBorders>
          </w:tcPr>
          <w:p w14:paraId="6F45003A" w14:textId="77777777" w:rsidR="00E73BD8" w:rsidRPr="00250E94" w:rsidRDefault="00E73BD8" w:rsidP="00B27F75">
            <w:pPr>
              <w:widowControl w:val="0"/>
              <w:spacing w:after="200" w:line="240" w:lineRule="auto"/>
              <w:rPr>
                <w:rFonts w:eastAsiaTheme="minorHAnsi"/>
                <w:sz w:val="20"/>
                <w:szCs w:val="20"/>
                <w:lang w:val="en-US"/>
              </w:rPr>
            </w:pPr>
            <w:bookmarkStart w:id="67" w:name="_Hlk8542503"/>
            <w:r w:rsidRPr="00250E94">
              <w:rPr>
                <w:rFonts w:eastAsiaTheme="minorHAnsi"/>
                <w:sz w:val="20"/>
                <w:szCs w:val="20"/>
                <w:lang w:val="en-US"/>
              </w:rPr>
              <w:t>Central and Southern Hill Country</w:t>
            </w:r>
            <w:bookmarkEnd w:id="67"/>
          </w:p>
        </w:tc>
        <w:tc>
          <w:tcPr>
            <w:tcW w:w="1256" w:type="dxa"/>
            <w:tcBorders>
              <w:top w:val="single" w:sz="4" w:space="0" w:color="000000"/>
              <w:left w:val="single" w:sz="4" w:space="0" w:color="auto"/>
              <w:bottom w:val="single" w:sz="4" w:space="0" w:color="000000"/>
              <w:right w:val="single" w:sz="4" w:space="0" w:color="auto"/>
            </w:tcBorders>
          </w:tcPr>
          <w:p w14:paraId="4526B52B" w14:textId="77777777" w:rsidR="00E73BD8" w:rsidRPr="00250E94" w:rsidRDefault="00E73BD8" w:rsidP="00B27F75">
            <w:pPr>
              <w:widowControl w:val="0"/>
              <w:spacing w:after="200" w:line="240" w:lineRule="auto"/>
              <w:jc w:val="center"/>
              <w:rPr>
                <w:rFonts w:eastAsiaTheme="minorHAnsi"/>
                <w:sz w:val="20"/>
                <w:szCs w:val="20"/>
                <w:lang w:val="en-US"/>
              </w:rPr>
            </w:pPr>
            <w:r w:rsidRPr="00250E94">
              <w:rPr>
                <w:rFonts w:eastAsiaTheme="minorHAnsi"/>
                <w:sz w:val="20"/>
                <w:szCs w:val="20"/>
                <w:lang w:val="en-US"/>
              </w:rPr>
              <w:t>-</w:t>
            </w:r>
          </w:p>
        </w:tc>
        <w:tc>
          <w:tcPr>
            <w:tcW w:w="3690" w:type="dxa"/>
            <w:tcBorders>
              <w:top w:val="single" w:sz="4" w:space="0" w:color="000000"/>
              <w:left w:val="single" w:sz="4" w:space="0" w:color="auto"/>
              <w:bottom w:val="single" w:sz="4" w:space="0" w:color="000000"/>
              <w:right w:val="single" w:sz="4" w:space="0" w:color="auto"/>
            </w:tcBorders>
          </w:tcPr>
          <w:p w14:paraId="79011573" w14:textId="77777777" w:rsidR="00E73BD8" w:rsidRPr="00250E94" w:rsidRDefault="00E73BD8" w:rsidP="00B27F75">
            <w:pPr>
              <w:widowControl w:val="0"/>
              <w:spacing w:after="200" w:line="240" w:lineRule="auto"/>
              <w:rPr>
                <w:rFonts w:eastAsiaTheme="minorHAnsi"/>
                <w:sz w:val="20"/>
                <w:szCs w:val="20"/>
                <w:lang w:val="en-US"/>
              </w:rPr>
            </w:pPr>
            <w:r w:rsidRPr="00250E94">
              <w:rPr>
                <w:rFonts w:eastAsiaTheme="minorHAnsi"/>
                <w:sz w:val="20"/>
                <w:szCs w:val="20"/>
                <w:lang w:val="en-US"/>
              </w:rPr>
              <w:t>Northernmost Israeli coast or the Lebanese coast</w:t>
            </w:r>
          </w:p>
        </w:tc>
        <w:tc>
          <w:tcPr>
            <w:tcW w:w="1530" w:type="dxa"/>
            <w:tcBorders>
              <w:top w:val="single" w:sz="4" w:space="0" w:color="000000"/>
              <w:left w:val="single" w:sz="4" w:space="0" w:color="auto"/>
              <w:bottom w:val="single" w:sz="4" w:space="0" w:color="000000"/>
              <w:right w:val="single" w:sz="4" w:space="0" w:color="auto"/>
            </w:tcBorders>
          </w:tcPr>
          <w:p w14:paraId="39A0CD05" w14:textId="77777777" w:rsidR="00E73BD8" w:rsidRPr="00250E94" w:rsidRDefault="00E73BD8" w:rsidP="00B27F75">
            <w:pPr>
              <w:widowControl w:val="0"/>
              <w:spacing w:after="200" w:line="240" w:lineRule="auto"/>
              <w:jc w:val="center"/>
              <w:rPr>
                <w:rFonts w:eastAsiaTheme="minorHAnsi"/>
                <w:sz w:val="20"/>
                <w:szCs w:val="20"/>
                <w:lang w:val="en-US"/>
              </w:rPr>
            </w:pPr>
            <w:r w:rsidRPr="00250E94">
              <w:rPr>
                <w:rFonts w:eastAsiaTheme="minorHAnsi"/>
                <w:sz w:val="20"/>
                <w:szCs w:val="20"/>
                <w:lang w:val="en-US"/>
              </w:rPr>
              <w:t>-</w:t>
            </w:r>
          </w:p>
        </w:tc>
        <w:tc>
          <w:tcPr>
            <w:tcW w:w="1440" w:type="dxa"/>
            <w:tcBorders>
              <w:top w:val="single" w:sz="4" w:space="0" w:color="000000"/>
              <w:left w:val="single" w:sz="4" w:space="0" w:color="auto"/>
              <w:bottom w:val="single" w:sz="4" w:space="0" w:color="000000"/>
              <w:right w:val="single" w:sz="4" w:space="0" w:color="auto"/>
            </w:tcBorders>
          </w:tcPr>
          <w:p w14:paraId="68E6168D" w14:textId="77777777" w:rsidR="00E73BD8" w:rsidRPr="00250E94" w:rsidRDefault="00E73BD8" w:rsidP="00B27F75">
            <w:pPr>
              <w:widowControl w:val="0"/>
              <w:spacing w:after="200" w:line="240" w:lineRule="auto"/>
              <w:jc w:val="center"/>
              <w:rPr>
                <w:rFonts w:eastAsiaTheme="minorHAnsi"/>
                <w:b/>
                <w:sz w:val="20"/>
                <w:szCs w:val="20"/>
                <w:lang w:val="en-US"/>
              </w:rPr>
            </w:pPr>
            <w:r w:rsidRPr="00250E94">
              <w:rPr>
                <w:rFonts w:eastAsiaTheme="minorHAnsi"/>
                <w:b/>
                <w:sz w:val="20"/>
                <w:szCs w:val="20"/>
                <w:lang w:val="en-US"/>
              </w:rPr>
              <w:t>-</w:t>
            </w:r>
          </w:p>
        </w:tc>
      </w:tr>
      <w:tr w:rsidR="00E73BD8" w:rsidRPr="00250E94" w14:paraId="6BB00343" w14:textId="77777777" w:rsidTr="00B27F75">
        <w:trPr>
          <w:trHeight w:hRule="exact" w:val="262"/>
        </w:trPr>
        <w:tc>
          <w:tcPr>
            <w:tcW w:w="1633" w:type="dxa"/>
            <w:tcBorders>
              <w:top w:val="single" w:sz="4" w:space="0" w:color="000000"/>
              <w:left w:val="single" w:sz="4" w:space="0" w:color="auto"/>
              <w:bottom w:val="single" w:sz="3" w:space="0" w:color="000000"/>
              <w:right w:val="single" w:sz="4" w:space="0" w:color="auto"/>
            </w:tcBorders>
          </w:tcPr>
          <w:p w14:paraId="27E4BD19" w14:textId="77777777" w:rsidR="00E73BD8" w:rsidRPr="00250E94" w:rsidRDefault="00E73BD8" w:rsidP="00B27F75">
            <w:pPr>
              <w:widowControl w:val="0"/>
              <w:spacing w:after="200" w:line="240" w:lineRule="auto"/>
              <w:rPr>
                <w:rFonts w:eastAsiaTheme="minorHAnsi"/>
                <w:sz w:val="20"/>
                <w:szCs w:val="20"/>
                <w:lang w:val="en-US"/>
              </w:rPr>
            </w:pPr>
            <w:r w:rsidRPr="00250E94">
              <w:rPr>
                <w:rFonts w:eastAsiaTheme="minorHAnsi"/>
                <w:sz w:val="20"/>
                <w:szCs w:val="20"/>
                <w:lang w:val="en-US"/>
              </w:rPr>
              <w:t>4030B, JH066</w:t>
            </w:r>
          </w:p>
        </w:tc>
        <w:tc>
          <w:tcPr>
            <w:tcW w:w="2408" w:type="dxa"/>
            <w:tcBorders>
              <w:top w:val="single" w:sz="4" w:space="0" w:color="000000"/>
              <w:left w:val="single" w:sz="4" w:space="0" w:color="auto"/>
              <w:bottom w:val="single" w:sz="3" w:space="0" w:color="000000"/>
              <w:right w:val="single" w:sz="4" w:space="0" w:color="auto"/>
            </w:tcBorders>
          </w:tcPr>
          <w:p w14:paraId="0D37236E" w14:textId="77777777" w:rsidR="00E73BD8" w:rsidRPr="00250E94" w:rsidRDefault="00E73BD8" w:rsidP="00B27F75">
            <w:pPr>
              <w:widowControl w:val="0"/>
              <w:spacing w:after="200" w:line="240" w:lineRule="auto"/>
              <w:rPr>
                <w:rFonts w:eastAsiaTheme="minorHAnsi"/>
                <w:sz w:val="20"/>
                <w:szCs w:val="20"/>
                <w:lang w:val="en-US"/>
              </w:rPr>
            </w:pPr>
            <w:r w:rsidRPr="00250E94">
              <w:rPr>
                <w:rFonts w:eastAsiaTheme="minorHAnsi"/>
                <w:sz w:val="20"/>
                <w:szCs w:val="20"/>
                <w:lang w:val="en-US"/>
              </w:rPr>
              <w:t>Southern Palestine</w:t>
            </w:r>
          </w:p>
        </w:tc>
        <w:tc>
          <w:tcPr>
            <w:tcW w:w="2524" w:type="dxa"/>
            <w:tcBorders>
              <w:top w:val="single" w:sz="4" w:space="0" w:color="000000"/>
              <w:left w:val="single" w:sz="4" w:space="0" w:color="auto"/>
              <w:bottom w:val="single" w:sz="3" w:space="0" w:color="000000"/>
              <w:right w:val="single" w:sz="4" w:space="0" w:color="auto"/>
            </w:tcBorders>
          </w:tcPr>
          <w:p w14:paraId="1756E10B" w14:textId="77777777" w:rsidR="00E73BD8" w:rsidRPr="00250E94" w:rsidRDefault="00E73BD8" w:rsidP="00B27F75">
            <w:pPr>
              <w:widowControl w:val="0"/>
              <w:spacing w:after="200" w:line="240" w:lineRule="auto"/>
              <w:rPr>
                <w:rFonts w:eastAsiaTheme="minorHAnsi"/>
                <w:sz w:val="20"/>
                <w:szCs w:val="20"/>
                <w:lang w:val="en-US"/>
              </w:rPr>
            </w:pPr>
            <w:r w:rsidRPr="00250E94">
              <w:rPr>
                <w:rFonts w:eastAsiaTheme="minorHAnsi"/>
                <w:sz w:val="20"/>
                <w:szCs w:val="20"/>
                <w:lang w:val="en-US"/>
              </w:rPr>
              <w:t>Not recorded</w:t>
            </w:r>
          </w:p>
        </w:tc>
        <w:tc>
          <w:tcPr>
            <w:tcW w:w="1256" w:type="dxa"/>
            <w:tcBorders>
              <w:top w:val="single" w:sz="4" w:space="0" w:color="000000"/>
              <w:left w:val="single" w:sz="4" w:space="0" w:color="auto"/>
              <w:bottom w:val="single" w:sz="3" w:space="0" w:color="000000"/>
              <w:right w:val="single" w:sz="4" w:space="0" w:color="auto"/>
            </w:tcBorders>
          </w:tcPr>
          <w:p w14:paraId="7B0431AB" w14:textId="77777777" w:rsidR="00E73BD8" w:rsidRPr="00250E94" w:rsidRDefault="00E73BD8" w:rsidP="00B27F75">
            <w:pPr>
              <w:widowControl w:val="0"/>
              <w:spacing w:after="200" w:line="240" w:lineRule="auto"/>
              <w:jc w:val="center"/>
              <w:rPr>
                <w:rFonts w:eastAsiaTheme="minorHAnsi"/>
                <w:sz w:val="20"/>
                <w:szCs w:val="20"/>
                <w:lang w:val="en-US"/>
              </w:rPr>
            </w:pPr>
            <w:r w:rsidRPr="00250E94">
              <w:rPr>
                <w:rFonts w:eastAsiaTheme="minorHAnsi"/>
                <w:sz w:val="20"/>
                <w:szCs w:val="20"/>
                <w:lang w:val="en-US"/>
              </w:rPr>
              <w:t>No information</w:t>
            </w:r>
          </w:p>
        </w:tc>
        <w:tc>
          <w:tcPr>
            <w:tcW w:w="3690" w:type="dxa"/>
            <w:tcBorders>
              <w:top w:val="single" w:sz="4" w:space="0" w:color="000000"/>
              <w:left w:val="single" w:sz="4" w:space="0" w:color="auto"/>
              <w:bottom w:val="single" w:sz="3" w:space="0" w:color="000000"/>
              <w:right w:val="single" w:sz="4" w:space="0" w:color="auto"/>
            </w:tcBorders>
          </w:tcPr>
          <w:p w14:paraId="6AF262AE" w14:textId="77777777" w:rsidR="00E73BD8" w:rsidRPr="00250E94" w:rsidRDefault="00E73BD8" w:rsidP="00B27F75">
            <w:pPr>
              <w:widowControl w:val="0"/>
              <w:spacing w:after="200" w:line="240" w:lineRule="auto"/>
              <w:rPr>
                <w:rFonts w:eastAsiaTheme="minorHAnsi"/>
                <w:sz w:val="20"/>
                <w:szCs w:val="20"/>
                <w:lang w:val="en-US"/>
              </w:rPr>
            </w:pPr>
            <w:r w:rsidRPr="00250E94">
              <w:rPr>
                <w:rFonts w:eastAsiaTheme="minorHAnsi"/>
                <w:sz w:val="20"/>
                <w:szCs w:val="20"/>
                <w:lang w:val="en-US"/>
              </w:rPr>
              <w:t>Northwestern Negev</w:t>
            </w:r>
          </w:p>
        </w:tc>
        <w:tc>
          <w:tcPr>
            <w:tcW w:w="1530" w:type="dxa"/>
            <w:tcBorders>
              <w:top w:val="single" w:sz="4" w:space="0" w:color="000000"/>
              <w:left w:val="single" w:sz="4" w:space="0" w:color="auto"/>
              <w:bottom w:val="single" w:sz="3" w:space="0" w:color="000000"/>
              <w:right w:val="single" w:sz="4" w:space="0" w:color="auto"/>
            </w:tcBorders>
          </w:tcPr>
          <w:p w14:paraId="6FC0AD43" w14:textId="77777777" w:rsidR="00E73BD8" w:rsidRPr="00250E94" w:rsidRDefault="00E73BD8" w:rsidP="00B27F75">
            <w:pPr>
              <w:widowControl w:val="0"/>
              <w:spacing w:after="200" w:line="240" w:lineRule="auto"/>
              <w:jc w:val="center"/>
              <w:rPr>
                <w:rFonts w:eastAsiaTheme="minorHAnsi"/>
                <w:sz w:val="20"/>
                <w:szCs w:val="20"/>
                <w:lang w:val="en-US"/>
              </w:rPr>
            </w:pPr>
            <w:r w:rsidRPr="00250E94">
              <w:rPr>
                <w:rFonts w:eastAsiaTheme="minorHAnsi"/>
                <w:sz w:val="20"/>
                <w:szCs w:val="20"/>
                <w:lang w:val="en-US"/>
              </w:rPr>
              <w:t>+</w:t>
            </w:r>
          </w:p>
        </w:tc>
        <w:tc>
          <w:tcPr>
            <w:tcW w:w="1440" w:type="dxa"/>
            <w:tcBorders>
              <w:top w:val="single" w:sz="4" w:space="0" w:color="000000"/>
              <w:left w:val="single" w:sz="4" w:space="0" w:color="auto"/>
              <w:bottom w:val="single" w:sz="3" w:space="0" w:color="000000"/>
              <w:right w:val="single" w:sz="4" w:space="0" w:color="auto"/>
            </w:tcBorders>
          </w:tcPr>
          <w:p w14:paraId="4DC3CD83" w14:textId="77777777" w:rsidR="00E73BD8" w:rsidRPr="00250E94" w:rsidRDefault="00E73BD8" w:rsidP="00B27F75">
            <w:pPr>
              <w:widowControl w:val="0"/>
              <w:spacing w:after="200" w:line="240" w:lineRule="auto"/>
              <w:jc w:val="center"/>
              <w:rPr>
                <w:rFonts w:eastAsiaTheme="minorHAnsi"/>
                <w:b/>
                <w:sz w:val="20"/>
                <w:szCs w:val="20"/>
                <w:lang w:val="en-US"/>
              </w:rPr>
            </w:pPr>
            <w:r w:rsidRPr="00250E94">
              <w:rPr>
                <w:rFonts w:eastAsiaTheme="minorHAnsi"/>
                <w:b/>
                <w:sz w:val="20"/>
                <w:szCs w:val="20"/>
                <w:lang w:val="en-US"/>
              </w:rPr>
              <w:t>No information</w:t>
            </w:r>
          </w:p>
        </w:tc>
      </w:tr>
      <w:tr w:rsidR="00E73BD8" w:rsidRPr="00250E94" w14:paraId="420809B9" w14:textId="77777777" w:rsidTr="00B27F75">
        <w:trPr>
          <w:trHeight w:hRule="exact" w:val="484"/>
        </w:trPr>
        <w:tc>
          <w:tcPr>
            <w:tcW w:w="1633" w:type="dxa"/>
            <w:tcBorders>
              <w:top w:val="single" w:sz="3" w:space="0" w:color="000000"/>
              <w:left w:val="single" w:sz="4" w:space="0" w:color="auto"/>
              <w:bottom w:val="single" w:sz="4" w:space="0" w:color="000000"/>
              <w:right w:val="single" w:sz="4" w:space="0" w:color="auto"/>
            </w:tcBorders>
          </w:tcPr>
          <w:p w14:paraId="5A7A1806" w14:textId="77777777" w:rsidR="00E73BD8" w:rsidRPr="00250E94" w:rsidRDefault="00E73BD8" w:rsidP="00B27F75">
            <w:pPr>
              <w:widowControl w:val="0"/>
              <w:spacing w:after="200" w:line="240" w:lineRule="auto"/>
              <w:rPr>
                <w:rFonts w:eastAsiaTheme="minorHAnsi"/>
                <w:sz w:val="20"/>
                <w:szCs w:val="20"/>
                <w:lang w:val="en-US"/>
              </w:rPr>
            </w:pPr>
            <w:r w:rsidRPr="00250E94">
              <w:rPr>
                <w:rFonts w:eastAsiaTheme="minorHAnsi"/>
                <w:sz w:val="20"/>
                <w:szCs w:val="20"/>
                <w:lang w:val="en-US"/>
              </w:rPr>
              <w:t>4060D, JH010</w:t>
            </w:r>
          </w:p>
        </w:tc>
        <w:tc>
          <w:tcPr>
            <w:tcW w:w="2408" w:type="dxa"/>
            <w:tcBorders>
              <w:top w:val="single" w:sz="3" w:space="0" w:color="000000"/>
              <w:left w:val="single" w:sz="4" w:space="0" w:color="auto"/>
              <w:bottom w:val="single" w:sz="4" w:space="0" w:color="000000"/>
              <w:right w:val="single" w:sz="4" w:space="0" w:color="auto"/>
            </w:tcBorders>
          </w:tcPr>
          <w:p w14:paraId="18F89398" w14:textId="77777777" w:rsidR="00E73BD8" w:rsidRPr="00250E94" w:rsidRDefault="00E73BD8" w:rsidP="00B27F75">
            <w:pPr>
              <w:widowControl w:val="0"/>
              <w:spacing w:after="200" w:line="240" w:lineRule="auto"/>
              <w:rPr>
                <w:rFonts w:eastAsiaTheme="minorHAnsi"/>
                <w:sz w:val="20"/>
                <w:szCs w:val="20"/>
                <w:lang w:val="en-US"/>
              </w:rPr>
            </w:pPr>
            <w:r w:rsidRPr="00250E94">
              <w:rPr>
                <w:rFonts w:eastAsiaTheme="minorHAnsi"/>
                <w:sz w:val="20"/>
                <w:szCs w:val="20"/>
                <w:lang w:val="en-US"/>
              </w:rPr>
              <w:t>Southern Palestine</w:t>
            </w:r>
          </w:p>
        </w:tc>
        <w:tc>
          <w:tcPr>
            <w:tcW w:w="2524" w:type="dxa"/>
            <w:tcBorders>
              <w:top w:val="single" w:sz="3" w:space="0" w:color="000000"/>
              <w:left w:val="single" w:sz="4" w:space="0" w:color="auto"/>
              <w:bottom w:val="single" w:sz="4" w:space="0" w:color="000000"/>
              <w:right w:val="single" w:sz="4" w:space="0" w:color="auto"/>
            </w:tcBorders>
          </w:tcPr>
          <w:p w14:paraId="1342F9E6" w14:textId="77777777" w:rsidR="00E73BD8" w:rsidRPr="00250E94" w:rsidRDefault="00E73BD8" w:rsidP="00B27F75">
            <w:pPr>
              <w:widowControl w:val="0"/>
              <w:spacing w:after="200" w:line="240" w:lineRule="auto"/>
              <w:rPr>
                <w:rFonts w:eastAsiaTheme="minorHAnsi"/>
                <w:sz w:val="20"/>
                <w:szCs w:val="20"/>
                <w:lang w:val="en-US"/>
              </w:rPr>
            </w:pPr>
            <w:r w:rsidRPr="00250E94">
              <w:rPr>
                <w:rFonts w:eastAsiaTheme="minorHAnsi"/>
                <w:sz w:val="20"/>
                <w:szCs w:val="20"/>
                <w:lang w:val="en-US"/>
              </w:rPr>
              <w:t>Shephelah (Southern Palestine)</w:t>
            </w:r>
          </w:p>
        </w:tc>
        <w:tc>
          <w:tcPr>
            <w:tcW w:w="1256" w:type="dxa"/>
            <w:tcBorders>
              <w:top w:val="single" w:sz="3" w:space="0" w:color="000000"/>
              <w:left w:val="single" w:sz="4" w:space="0" w:color="auto"/>
              <w:bottom w:val="single" w:sz="4" w:space="0" w:color="000000"/>
              <w:right w:val="single" w:sz="4" w:space="0" w:color="auto"/>
            </w:tcBorders>
          </w:tcPr>
          <w:p w14:paraId="0B79B191" w14:textId="77777777" w:rsidR="00E73BD8" w:rsidRPr="00250E94" w:rsidRDefault="00E73BD8" w:rsidP="00B27F75">
            <w:pPr>
              <w:widowControl w:val="0"/>
              <w:spacing w:after="200" w:line="240" w:lineRule="auto"/>
              <w:jc w:val="center"/>
              <w:rPr>
                <w:rFonts w:eastAsiaTheme="minorHAnsi"/>
                <w:sz w:val="20"/>
                <w:szCs w:val="20"/>
                <w:lang w:val="en-US"/>
              </w:rPr>
            </w:pPr>
            <w:r w:rsidRPr="00250E94">
              <w:rPr>
                <w:rFonts w:eastAsiaTheme="minorHAnsi"/>
                <w:sz w:val="20"/>
                <w:szCs w:val="20"/>
                <w:lang w:val="en-US"/>
              </w:rPr>
              <w:t>+</w:t>
            </w:r>
          </w:p>
        </w:tc>
        <w:tc>
          <w:tcPr>
            <w:tcW w:w="3690" w:type="dxa"/>
            <w:tcBorders>
              <w:top w:val="single" w:sz="3" w:space="0" w:color="000000"/>
              <w:left w:val="single" w:sz="4" w:space="0" w:color="auto"/>
              <w:bottom w:val="single" w:sz="4" w:space="0" w:color="000000"/>
              <w:right w:val="single" w:sz="4" w:space="0" w:color="auto"/>
            </w:tcBorders>
          </w:tcPr>
          <w:p w14:paraId="569DC651" w14:textId="77777777" w:rsidR="00E73BD8" w:rsidRPr="00250E94" w:rsidRDefault="00E73BD8" w:rsidP="00B27F75">
            <w:pPr>
              <w:widowControl w:val="0"/>
              <w:spacing w:after="200" w:line="240" w:lineRule="auto"/>
              <w:rPr>
                <w:rFonts w:eastAsiaTheme="minorHAnsi"/>
                <w:sz w:val="20"/>
                <w:szCs w:val="20"/>
                <w:lang w:val="en-US"/>
              </w:rPr>
            </w:pPr>
            <w:bookmarkStart w:id="68" w:name="_Hlk8457003"/>
            <w:r w:rsidRPr="00250E94">
              <w:rPr>
                <w:rFonts w:eastAsiaTheme="minorHAnsi"/>
                <w:sz w:val="20"/>
                <w:szCs w:val="20"/>
                <w:lang w:val="en-US"/>
              </w:rPr>
              <w:t>Mt. Carmel region</w:t>
            </w:r>
            <w:bookmarkEnd w:id="68"/>
          </w:p>
        </w:tc>
        <w:tc>
          <w:tcPr>
            <w:tcW w:w="1530" w:type="dxa"/>
            <w:tcBorders>
              <w:top w:val="single" w:sz="3" w:space="0" w:color="000000"/>
              <w:left w:val="single" w:sz="4" w:space="0" w:color="auto"/>
              <w:bottom w:val="single" w:sz="4" w:space="0" w:color="000000"/>
              <w:right w:val="single" w:sz="4" w:space="0" w:color="auto"/>
            </w:tcBorders>
          </w:tcPr>
          <w:p w14:paraId="7DCDE591" w14:textId="77777777" w:rsidR="00E73BD8" w:rsidRPr="00250E94" w:rsidRDefault="00E73BD8" w:rsidP="00B27F75">
            <w:pPr>
              <w:widowControl w:val="0"/>
              <w:spacing w:after="200" w:line="240" w:lineRule="auto"/>
              <w:jc w:val="center"/>
              <w:rPr>
                <w:rFonts w:eastAsiaTheme="minorHAnsi"/>
                <w:sz w:val="20"/>
                <w:szCs w:val="20"/>
                <w:lang w:val="en-US"/>
              </w:rPr>
            </w:pPr>
            <w:r w:rsidRPr="00250E94">
              <w:rPr>
                <w:rFonts w:eastAsiaTheme="minorHAnsi"/>
                <w:sz w:val="20"/>
                <w:szCs w:val="20"/>
                <w:lang w:val="en-US"/>
              </w:rPr>
              <w:t>-</w:t>
            </w:r>
          </w:p>
        </w:tc>
        <w:tc>
          <w:tcPr>
            <w:tcW w:w="1440" w:type="dxa"/>
            <w:tcBorders>
              <w:top w:val="single" w:sz="3" w:space="0" w:color="000000"/>
              <w:left w:val="single" w:sz="4" w:space="0" w:color="auto"/>
              <w:bottom w:val="single" w:sz="4" w:space="0" w:color="000000"/>
              <w:right w:val="single" w:sz="4" w:space="0" w:color="auto"/>
            </w:tcBorders>
          </w:tcPr>
          <w:p w14:paraId="5EECEB34" w14:textId="77777777" w:rsidR="00E73BD8" w:rsidRPr="00250E94" w:rsidRDefault="00E73BD8" w:rsidP="00B27F75">
            <w:pPr>
              <w:widowControl w:val="0"/>
              <w:spacing w:after="200" w:line="240" w:lineRule="auto"/>
              <w:jc w:val="center"/>
              <w:rPr>
                <w:rFonts w:eastAsiaTheme="minorHAnsi"/>
                <w:b/>
                <w:sz w:val="20"/>
                <w:szCs w:val="20"/>
                <w:lang w:val="en-US"/>
              </w:rPr>
            </w:pPr>
            <w:r w:rsidRPr="00250E94">
              <w:rPr>
                <w:rFonts w:eastAsiaTheme="minorHAnsi"/>
                <w:b/>
                <w:sz w:val="20"/>
                <w:szCs w:val="20"/>
                <w:lang w:val="en-US"/>
              </w:rPr>
              <w:t>-</w:t>
            </w:r>
          </w:p>
        </w:tc>
      </w:tr>
      <w:tr w:rsidR="00E73BD8" w:rsidRPr="00250E94" w14:paraId="4645B4DB" w14:textId="77777777" w:rsidTr="00B27F75">
        <w:trPr>
          <w:trHeight w:hRule="exact" w:val="451"/>
        </w:trPr>
        <w:tc>
          <w:tcPr>
            <w:tcW w:w="1633" w:type="dxa"/>
            <w:tcBorders>
              <w:top w:val="single" w:sz="4" w:space="0" w:color="000000"/>
              <w:left w:val="single" w:sz="4" w:space="0" w:color="auto"/>
              <w:bottom w:val="single" w:sz="4" w:space="0" w:color="000000"/>
              <w:right w:val="single" w:sz="4" w:space="0" w:color="auto"/>
            </w:tcBorders>
          </w:tcPr>
          <w:p w14:paraId="4969E442" w14:textId="77777777" w:rsidR="00E73BD8" w:rsidRPr="00250E94" w:rsidRDefault="00E73BD8" w:rsidP="00B27F75">
            <w:pPr>
              <w:widowControl w:val="0"/>
              <w:spacing w:after="200" w:line="240" w:lineRule="auto"/>
              <w:rPr>
                <w:rFonts w:eastAsiaTheme="minorHAnsi"/>
                <w:sz w:val="20"/>
                <w:szCs w:val="20"/>
                <w:lang w:val="en-US"/>
              </w:rPr>
            </w:pPr>
            <w:r w:rsidRPr="00250E94">
              <w:rPr>
                <w:rFonts w:eastAsiaTheme="minorHAnsi"/>
                <w:sz w:val="20"/>
                <w:szCs w:val="20"/>
                <w:lang w:val="en-US"/>
              </w:rPr>
              <w:t>4099C, JH084</w:t>
            </w:r>
          </w:p>
        </w:tc>
        <w:tc>
          <w:tcPr>
            <w:tcW w:w="2408" w:type="dxa"/>
            <w:tcBorders>
              <w:top w:val="single" w:sz="4" w:space="0" w:color="000000"/>
              <w:left w:val="single" w:sz="4" w:space="0" w:color="auto"/>
              <w:bottom w:val="single" w:sz="4" w:space="0" w:color="000000"/>
              <w:right w:val="single" w:sz="4" w:space="0" w:color="auto"/>
            </w:tcBorders>
          </w:tcPr>
          <w:p w14:paraId="7E66A0F3" w14:textId="77777777" w:rsidR="00E73BD8" w:rsidRPr="00250E94" w:rsidRDefault="00E73BD8" w:rsidP="00B27F75">
            <w:pPr>
              <w:widowControl w:val="0"/>
              <w:spacing w:after="200" w:line="240" w:lineRule="auto"/>
              <w:rPr>
                <w:rFonts w:eastAsiaTheme="minorHAnsi"/>
                <w:sz w:val="20"/>
                <w:szCs w:val="20"/>
                <w:lang w:val="en-US"/>
              </w:rPr>
            </w:pPr>
            <w:r w:rsidRPr="00250E94">
              <w:rPr>
                <w:rFonts w:eastAsiaTheme="minorHAnsi"/>
                <w:sz w:val="20"/>
                <w:szCs w:val="20"/>
                <w:lang w:val="en-US"/>
              </w:rPr>
              <w:t>? (possibly Southern Palestine)</w:t>
            </w:r>
          </w:p>
        </w:tc>
        <w:tc>
          <w:tcPr>
            <w:tcW w:w="2524" w:type="dxa"/>
            <w:tcBorders>
              <w:top w:val="single" w:sz="4" w:space="0" w:color="000000"/>
              <w:left w:val="single" w:sz="4" w:space="0" w:color="auto"/>
              <w:bottom w:val="single" w:sz="3" w:space="0" w:color="000000"/>
              <w:right w:val="single" w:sz="4" w:space="0" w:color="auto"/>
            </w:tcBorders>
          </w:tcPr>
          <w:p w14:paraId="42397679" w14:textId="77777777" w:rsidR="00E73BD8" w:rsidRPr="00250E94" w:rsidRDefault="00E73BD8" w:rsidP="00B27F75">
            <w:pPr>
              <w:widowControl w:val="0"/>
              <w:spacing w:after="200" w:line="240" w:lineRule="auto"/>
              <w:rPr>
                <w:rFonts w:eastAsiaTheme="minorHAnsi"/>
                <w:sz w:val="20"/>
                <w:szCs w:val="20"/>
                <w:lang w:val="en-US"/>
              </w:rPr>
            </w:pPr>
            <w:r w:rsidRPr="00250E94">
              <w:rPr>
                <w:rFonts w:eastAsiaTheme="minorHAnsi"/>
                <w:sz w:val="20"/>
                <w:szCs w:val="20"/>
                <w:lang w:val="en-US"/>
              </w:rPr>
              <w:t>Central and Southern Hill Country</w:t>
            </w:r>
          </w:p>
        </w:tc>
        <w:tc>
          <w:tcPr>
            <w:tcW w:w="1256" w:type="dxa"/>
            <w:tcBorders>
              <w:top w:val="single" w:sz="4" w:space="0" w:color="000000"/>
              <w:left w:val="single" w:sz="4" w:space="0" w:color="auto"/>
              <w:bottom w:val="single" w:sz="3" w:space="0" w:color="000000"/>
              <w:right w:val="single" w:sz="4" w:space="0" w:color="auto"/>
            </w:tcBorders>
          </w:tcPr>
          <w:p w14:paraId="3182E4E3" w14:textId="77777777" w:rsidR="00E73BD8" w:rsidRPr="00250E94" w:rsidRDefault="00E73BD8" w:rsidP="00B27F75">
            <w:pPr>
              <w:widowControl w:val="0"/>
              <w:spacing w:after="200" w:line="240" w:lineRule="auto"/>
              <w:jc w:val="center"/>
              <w:rPr>
                <w:rFonts w:eastAsiaTheme="minorHAnsi"/>
                <w:sz w:val="20"/>
                <w:szCs w:val="20"/>
                <w:lang w:val="en-US"/>
              </w:rPr>
            </w:pPr>
            <w:r w:rsidRPr="00250E94">
              <w:rPr>
                <w:rFonts w:eastAsiaTheme="minorHAnsi"/>
                <w:sz w:val="20"/>
                <w:szCs w:val="20"/>
                <w:lang w:val="en-US"/>
              </w:rPr>
              <w:t>-</w:t>
            </w:r>
          </w:p>
        </w:tc>
        <w:tc>
          <w:tcPr>
            <w:tcW w:w="3690" w:type="dxa"/>
            <w:tcBorders>
              <w:top w:val="single" w:sz="4" w:space="0" w:color="000000"/>
              <w:left w:val="single" w:sz="4" w:space="0" w:color="auto"/>
              <w:bottom w:val="single" w:sz="3" w:space="0" w:color="000000"/>
              <w:right w:val="single" w:sz="4" w:space="0" w:color="auto"/>
            </w:tcBorders>
          </w:tcPr>
          <w:p w14:paraId="0593A5A5" w14:textId="77777777" w:rsidR="00E73BD8" w:rsidRPr="00250E94" w:rsidRDefault="00E73BD8" w:rsidP="00B27F75">
            <w:pPr>
              <w:widowControl w:val="0"/>
              <w:spacing w:after="200" w:line="240" w:lineRule="auto"/>
              <w:rPr>
                <w:rFonts w:eastAsiaTheme="minorHAnsi"/>
                <w:sz w:val="20"/>
                <w:szCs w:val="20"/>
                <w:lang w:val="en-US"/>
              </w:rPr>
            </w:pPr>
            <w:r w:rsidRPr="00250E94">
              <w:rPr>
                <w:rFonts w:eastAsiaTheme="minorHAnsi"/>
                <w:sz w:val="20"/>
                <w:szCs w:val="20"/>
                <w:lang w:val="en-US"/>
              </w:rPr>
              <w:t>Judea or Samaria in Israel</w:t>
            </w:r>
          </w:p>
        </w:tc>
        <w:tc>
          <w:tcPr>
            <w:tcW w:w="1530" w:type="dxa"/>
            <w:tcBorders>
              <w:top w:val="single" w:sz="4" w:space="0" w:color="000000"/>
              <w:left w:val="single" w:sz="4" w:space="0" w:color="auto"/>
              <w:bottom w:val="single" w:sz="3" w:space="0" w:color="000000"/>
              <w:right w:val="single" w:sz="4" w:space="0" w:color="auto"/>
            </w:tcBorders>
          </w:tcPr>
          <w:p w14:paraId="0C4661DE" w14:textId="77777777" w:rsidR="00E73BD8" w:rsidRPr="00250E94" w:rsidRDefault="00E73BD8" w:rsidP="00B27F75">
            <w:pPr>
              <w:widowControl w:val="0"/>
              <w:spacing w:after="200" w:line="240" w:lineRule="auto"/>
              <w:jc w:val="center"/>
              <w:rPr>
                <w:rFonts w:eastAsiaTheme="minorHAnsi"/>
                <w:sz w:val="20"/>
                <w:szCs w:val="20"/>
                <w:lang w:val="en-US"/>
              </w:rPr>
            </w:pPr>
            <w:r w:rsidRPr="00250E94">
              <w:rPr>
                <w:rFonts w:eastAsiaTheme="minorHAnsi"/>
                <w:sz w:val="20"/>
                <w:szCs w:val="20"/>
                <w:lang w:val="en-US"/>
              </w:rPr>
              <w:t>? (should be -)</w:t>
            </w:r>
          </w:p>
        </w:tc>
        <w:tc>
          <w:tcPr>
            <w:tcW w:w="1440" w:type="dxa"/>
            <w:tcBorders>
              <w:top w:val="single" w:sz="4" w:space="0" w:color="000000"/>
              <w:left w:val="single" w:sz="4" w:space="0" w:color="auto"/>
              <w:bottom w:val="single" w:sz="3" w:space="0" w:color="000000"/>
              <w:right w:val="single" w:sz="4" w:space="0" w:color="auto"/>
            </w:tcBorders>
          </w:tcPr>
          <w:p w14:paraId="03253A99" w14:textId="77777777" w:rsidR="00E73BD8" w:rsidRPr="00250E94" w:rsidRDefault="00E73BD8" w:rsidP="00B27F75">
            <w:pPr>
              <w:widowControl w:val="0"/>
              <w:spacing w:after="200" w:line="240" w:lineRule="auto"/>
              <w:jc w:val="center"/>
              <w:rPr>
                <w:rFonts w:eastAsiaTheme="minorHAnsi"/>
                <w:b/>
                <w:sz w:val="20"/>
                <w:szCs w:val="20"/>
                <w:lang w:val="en-US"/>
              </w:rPr>
            </w:pPr>
            <w:r w:rsidRPr="00250E94">
              <w:rPr>
                <w:rFonts w:eastAsiaTheme="minorHAnsi"/>
                <w:b/>
                <w:sz w:val="20"/>
                <w:szCs w:val="20"/>
                <w:lang w:val="en-US"/>
              </w:rPr>
              <w:t>+</w:t>
            </w:r>
          </w:p>
        </w:tc>
      </w:tr>
      <w:tr w:rsidR="00E73BD8" w:rsidRPr="00250E94" w14:paraId="62C4036C" w14:textId="77777777" w:rsidTr="00B27F75">
        <w:trPr>
          <w:trHeight w:hRule="exact" w:val="433"/>
        </w:trPr>
        <w:tc>
          <w:tcPr>
            <w:tcW w:w="1633" w:type="dxa"/>
            <w:tcBorders>
              <w:top w:val="single" w:sz="4" w:space="0" w:color="000000"/>
              <w:left w:val="single" w:sz="4" w:space="0" w:color="auto"/>
              <w:bottom w:val="single" w:sz="4" w:space="0" w:color="000000"/>
              <w:right w:val="single" w:sz="4" w:space="0" w:color="auto"/>
            </w:tcBorders>
          </w:tcPr>
          <w:p w14:paraId="7B381504" w14:textId="77777777" w:rsidR="00E73BD8" w:rsidRPr="00250E94" w:rsidRDefault="00E73BD8" w:rsidP="00B27F75">
            <w:pPr>
              <w:widowControl w:val="0"/>
              <w:spacing w:after="200" w:line="240" w:lineRule="auto"/>
              <w:rPr>
                <w:rFonts w:eastAsiaTheme="minorHAnsi"/>
                <w:sz w:val="20"/>
                <w:szCs w:val="20"/>
                <w:lang w:val="en-US"/>
              </w:rPr>
            </w:pPr>
            <w:r w:rsidRPr="00250E94">
              <w:rPr>
                <w:rFonts w:eastAsiaTheme="minorHAnsi"/>
                <w:sz w:val="20"/>
                <w:szCs w:val="20"/>
                <w:lang w:val="en-US"/>
              </w:rPr>
              <w:t>4107A, JH903</w:t>
            </w:r>
          </w:p>
        </w:tc>
        <w:tc>
          <w:tcPr>
            <w:tcW w:w="2408" w:type="dxa"/>
            <w:tcBorders>
              <w:top w:val="single" w:sz="4" w:space="0" w:color="000000"/>
              <w:left w:val="single" w:sz="4" w:space="0" w:color="auto"/>
              <w:bottom w:val="single" w:sz="4" w:space="0" w:color="000000"/>
              <w:right w:val="single" w:sz="4" w:space="0" w:color="auto"/>
            </w:tcBorders>
          </w:tcPr>
          <w:p w14:paraId="318B3B08" w14:textId="77777777" w:rsidR="00E73BD8" w:rsidRPr="00250E94" w:rsidRDefault="00E73BD8" w:rsidP="00B27F75">
            <w:pPr>
              <w:widowControl w:val="0"/>
              <w:spacing w:after="200" w:line="240" w:lineRule="auto"/>
              <w:rPr>
                <w:rFonts w:eastAsiaTheme="minorHAnsi"/>
                <w:sz w:val="20"/>
                <w:szCs w:val="20"/>
                <w:lang w:val="en-US"/>
              </w:rPr>
            </w:pPr>
            <w:r w:rsidRPr="00250E94">
              <w:rPr>
                <w:rFonts w:eastAsiaTheme="minorHAnsi"/>
                <w:sz w:val="20"/>
                <w:szCs w:val="20"/>
                <w:lang w:val="en-US"/>
              </w:rPr>
              <w:t>? (possibly Southern Palestine)</w:t>
            </w:r>
          </w:p>
        </w:tc>
        <w:tc>
          <w:tcPr>
            <w:tcW w:w="2524" w:type="dxa"/>
            <w:tcBorders>
              <w:top w:val="single" w:sz="3" w:space="0" w:color="000000"/>
              <w:left w:val="single" w:sz="4" w:space="0" w:color="auto"/>
              <w:bottom w:val="single" w:sz="4" w:space="0" w:color="000000"/>
              <w:right w:val="single" w:sz="4" w:space="0" w:color="auto"/>
            </w:tcBorders>
          </w:tcPr>
          <w:p w14:paraId="4564700E" w14:textId="77777777" w:rsidR="00E73BD8" w:rsidRPr="00250E94" w:rsidRDefault="00E73BD8" w:rsidP="00B27F75">
            <w:pPr>
              <w:widowControl w:val="0"/>
              <w:spacing w:after="200" w:line="240" w:lineRule="auto"/>
              <w:rPr>
                <w:rFonts w:eastAsiaTheme="minorHAnsi"/>
                <w:sz w:val="20"/>
                <w:szCs w:val="20"/>
                <w:lang w:val="en-US"/>
              </w:rPr>
            </w:pPr>
            <w:r w:rsidRPr="00250E94">
              <w:rPr>
                <w:rFonts w:eastAsiaTheme="minorHAnsi"/>
                <w:sz w:val="20"/>
                <w:szCs w:val="20"/>
                <w:lang w:val="en-US"/>
              </w:rPr>
              <w:t>Southern Coastal Plain (Southern Palestine)</w:t>
            </w:r>
          </w:p>
        </w:tc>
        <w:tc>
          <w:tcPr>
            <w:tcW w:w="1256" w:type="dxa"/>
            <w:tcBorders>
              <w:top w:val="single" w:sz="3" w:space="0" w:color="000000"/>
              <w:left w:val="single" w:sz="4" w:space="0" w:color="auto"/>
              <w:bottom w:val="single" w:sz="4" w:space="0" w:color="000000"/>
              <w:right w:val="single" w:sz="4" w:space="0" w:color="auto"/>
            </w:tcBorders>
          </w:tcPr>
          <w:p w14:paraId="392BB43C" w14:textId="77777777" w:rsidR="00E73BD8" w:rsidRPr="00250E94" w:rsidRDefault="00E73BD8" w:rsidP="00B27F75">
            <w:pPr>
              <w:widowControl w:val="0"/>
              <w:spacing w:after="200" w:line="240" w:lineRule="auto"/>
              <w:jc w:val="center"/>
              <w:rPr>
                <w:rFonts w:eastAsiaTheme="minorHAnsi"/>
                <w:sz w:val="20"/>
                <w:szCs w:val="20"/>
                <w:lang w:val="en-US"/>
              </w:rPr>
            </w:pPr>
            <w:r w:rsidRPr="00250E94">
              <w:rPr>
                <w:rFonts w:eastAsiaTheme="minorHAnsi"/>
                <w:sz w:val="20"/>
                <w:szCs w:val="20"/>
                <w:lang w:val="en-US"/>
              </w:rPr>
              <w:t>+</w:t>
            </w:r>
          </w:p>
        </w:tc>
        <w:tc>
          <w:tcPr>
            <w:tcW w:w="3690" w:type="dxa"/>
            <w:tcBorders>
              <w:top w:val="single" w:sz="3" w:space="0" w:color="000000"/>
              <w:left w:val="single" w:sz="4" w:space="0" w:color="auto"/>
              <w:bottom w:val="single" w:sz="4" w:space="0" w:color="000000"/>
              <w:right w:val="single" w:sz="4" w:space="0" w:color="auto"/>
            </w:tcBorders>
          </w:tcPr>
          <w:p w14:paraId="5CAE31E5" w14:textId="77777777" w:rsidR="00E73BD8" w:rsidRPr="00250E94" w:rsidRDefault="00E73BD8" w:rsidP="00B27F75">
            <w:pPr>
              <w:widowControl w:val="0"/>
              <w:spacing w:after="200" w:line="240" w:lineRule="auto"/>
              <w:rPr>
                <w:rFonts w:eastAsiaTheme="minorHAnsi"/>
                <w:sz w:val="20"/>
                <w:szCs w:val="20"/>
                <w:lang w:val="en-US"/>
              </w:rPr>
            </w:pPr>
            <w:r w:rsidRPr="00250E94">
              <w:rPr>
                <w:rFonts w:eastAsiaTheme="minorHAnsi"/>
                <w:sz w:val="20"/>
                <w:szCs w:val="20"/>
                <w:lang w:val="en-US"/>
              </w:rPr>
              <w:t>Shephelah/Wadi I`ron</w:t>
            </w:r>
          </w:p>
        </w:tc>
        <w:tc>
          <w:tcPr>
            <w:tcW w:w="1530" w:type="dxa"/>
            <w:tcBorders>
              <w:top w:val="single" w:sz="3" w:space="0" w:color="000000"/>
              <w:left w:val="single" w:sz="4" w:space="0" w:color="auto"/>
              <w:bottom w:val="single" w:sz="4" w:space="0" w:color="000000"/>
              <w:right w:val="single" w:sz="4" w:space="0" w:color="auto"/>
            </w:tcBorders>
          </w:tcPr>
          <w:p w14:paraId="21BCFEB4" w14:textId="77777777" w:rsidR="00E73BD8" w:rsidRPr="00250E94" w:rsidRDefault="00E73BD8" w:rsidP="00B27F75">
            <w:pPr>
              <w:widowControl w:val="0"/>
              <w:spacing w:after="200" w:line="240" w:lineRule="auto"/>
              <w:jc w:val="center"/>
              <w:rPr>
                <w:rFonts w:eastAsiaTheme="minorHAnsi"/>
                <w:sz w:val="20"/>
                <w:szCs w:val="20"/>
                <w:lang w:val="en-US"/>
              </w:rPr>
            </w:pPr>
            <w:r w:rsidRPr="00250E94">
              <w:rPr>
                <w:rFonts w:eastAsiaTheme="minorHAnsi"/>
                <w:sz w:val="20"/>
                <w:szCs w:val="20"/>
                <w:lang w:val="en-US"/>
              </w:rPr>
              <w:t>? (should be +)</w:t>
            </w:r>
          </w:p>
        </w:tc>
        <w:tc>
          <w:tcPr>
            <w:tcW w:w="1440" w:type="dxa"/>
            <w:tcBorders>
              <w:top w:val="single" w:sz="3" w:space="0" w:color="000000"/>
              <w:left w:val="single" w:sz="4" w:space="0" w:color="auto"/>
              <w:bottom w:val="single" w:sz="4" w:space="0" w:color="000000"/>
              <w:right w:val="single" w:sz="4" w:space="0" w:color="auto"/>
            </w:tcBorders>
          </w:tcPr>
          <w:p w14:paraId="6A83F111" w14:textId="77777777" w:rsidR="00E73BD8" w:rsidRPr="00250E94" w:rsidRDefault="00E73BD8" w:rsidP="00B27F75">
            <w:pPr>
              <w:widowControl w:val="0"/>
              <w:spacing w:after="200" w:line="240" w:lineRule="auto"/>
              <w:jc w:val="center"/>
              <w:rPr>
                <w:rFonts w:eastAsiaTheme="minorHAnsi"/>
                <w:b/>
                <w:sz w:val="20"/>
                <w:szCs w:val="20"/>
                <w:lang w:val="en-US"/>
              </w:rPr>
            </w:pPr>
            <w:r w:rsidRPr="00250E94">
              <w:rPr>
                <w:rFonts w:eastAsiaTheme="minorHAnsi"/>
                <w:b/>
                <w:sz w:val="20"/>
                <w:szCs w:val="20"/>
                <w:lang w:val="en-US"/>
              </w:rPr>
              <w:t>+</w:t>
            </w:r>
          </w:p>
        </w:tc>
      </w:tr>
      <w:tr w:rsidR="00E73BD8" w:rsidRPr="00250E94" w14:paraId="302E8FAA" w14:textId="77777777" w:rsidTr="00B27F75">
        <w:trPr>
          <w:trHeight w:hRule="exact" w:val="352"/>
        </w:trPr>
        <w:tc>
          <w:tcPr>
            <w:tcW w:w="1633" w:type="dxa"/>
            <w:tcBorders>
              <w:top w:val="single" w:sz="4" w:space="0" w:color="000000"/>
              <w:left w:val="single" w:sz="4" w:space="0" w:color="auto"/>
              <w:bottom w:val="single" w:sz="4" w:space="0" w:color="000000"/>
              <w:right w:val="single" w:sz="4" w:space="0" w:color="auto"/>
            </w:tcBorders>
          </w:tcPr>
          <w:p w14:paraId="14C435CE" w14:textId="77777777" w:rsidR="00E73BD8" w:rsidRPr="00250E94" w:rsidRDefault="00E73BD8" w:rsidP="00B27F75">
            <w:pPr>
              <w:widowControl w:val="0"/>
              <w:spacing w:after="200" w:line="240" w:lineRule="auto"/>
              <w:rPr>
                <w:rFonts w:eastAsiaTheme="minorHAnsi"/>
                <w:sz w:val="20"/>
                <w:szCs w:val="20"/>
                <w:lang w:val="en-US"/>
              </w:rPr>
            </w:pPr>
            <w:r w:rsidRPr="00250E94">
              <w:rPr>
                <w:rFonts w:eastAsiaTheme="minorHAnsi"/>
                <w:sz w:val="20"/>
                <w:szCs w:val="20"/>
                <w:lang w:val="en-US"/>
              </w:rPr>
              <w:t>4223B, MB016</w:t>
            </w:r>
          </w:p>
        </w:tc>
        <w:tc>
          <w:tcPr>
            <w:tcW w:w="2408" w:type="dxa"/>
            <w:tcBorders>
              <w:top w:val="single" w:sz="4" w:space="0" w:color="000000"/>
              <w:left w:val="single" w:sz="4" w:space="0" w:color="auto"/>
              <w:bottom w:val="single" w:sz="4" w:space="0" w:color="000000"/>
              <w:right w:val="single" w:sz="4" w:space="0" w:color="auto"/>
            </w:tcBorders>
          </w:tcPr>
          <w:p w14:paraId="4650E512" w14:textId="77777777" w:rsidR="00E73BD8" w:rsidRPr="00250E94" w:rsidRDefault="00E73BD8" w:rsidP="00B27F75">
            <w:pPr>
              <w:widowControl w:val="0"/>
              <w:spacing w:after="200" w:line="240" w:lineRule="auto"/>
              <w:rPr>
                <w:rFonts w:eastAsiaTheme="minorHAnsi"/>
                <w:sz w:val="20"/>
                <w:szCs w:val="20"/>
                <w:lang w:val="en-US"/>
              </w:rPr>
            </w:pPr>
            <w:r w:rsidRPr="00250E94">
              <w:rPr>
                <w:rFonts w:eastAsiaTheme="minorHAnsi"/>
                <w:sz w:val="20"/>
                <w:szCs w:val="20"/>
                <w:lang w:val="en-US"/>
              </w:rPr>
              <w:t>? (possibly Southern Palestine)</w:t>
            </w:r>
          </w:p>
        </w:tc>
        <w:tc>
          <w:tcPr>
            <w:tcW w:w="2524" w:type="dxa"/>
            <w:tcBorders>
              <w:top w:val="single" w:sz="4" w:space="0" w:color="000000"/>
              <w:left w:val="single" w:sz="4" w:space="0" w:color="auto"/>
              <w:bottom w:val="single" w:sz="4" w:space="0" w:color="000000"/>
              <w:right w:val="single" w:sz="4" w:space="0" w:color="auto"/>
            </w:tcBorders>
          </w:tcPr>
          <w:p w14:paraId="2870B716" w14:textId="77777777" w:rsidR="00E73BD8" w:rsidRPr="00250E94" w:rsidRDefault="00E73BD8" w:rsidP="00B27F75">
            <w:pPr>
              <w:widowControl w:val="0"/>
              <w:spacing w:after="200" w:line="240" w:lineRule="auto"/>
              <w:rPr>
                <w:rFonts w:eastAsiaTheme="minorHAnsi"/>
                <w:sz w:val="20"/>
                <w:szCs w:val="20"/>
                <w:lang w:val="en-US"/>
              </w:rPr>
            </w:pPr>
            <w:r w:rsidRPr="00250E94">
              <w:rPr>
                <w:rFonts w:eastAsiaTheme="minorHAnsi"/>
                <w:sz w:val="20"/>
                <w:szCs w:val="20"/>
                <w:lang w:val="en-US"/>
              </w:rPr>
              <w:t>Not recorded</w:t>
            </w:r>
          </w:p>
        </w:tc>
        <w:tc>
          <w:tcPr>
            <w:tcW w:w="1256" w:type="dxa"/>
            <w:tcBorders>
              <w:top w:val="single" w:sz="4" w:space="0" w:color="000000"/>
              <w:left w:val="single" w:sz="4" w:space="0" w:color="auto"/>
              <w:bottom w:val="single" w:sz="4" w:space="0" w:color="000000"/>
              <w:right w:val="single" w:sz="4" w:space="0" w:color="auto"/>
            </w:tcBorders>
          </w:tcPr>
          <w:p w14:paraId="072C8EC7" w14:textId="77777777" w:rsidR="00E73BD8" w:rsidRPr="00250E94" w:rsidRDefault="00E73BD8" w:rsidP="00B27F75">
            <w:pPr>
              <w:widowControl w:val="0"/>
              <w:spacing w:after="200" w:line="240" w:lineRule="auto"/>
              <w:jc w:val="center"/>
              <w:rPr>
                <w:rFonts w:eastAsiaTheme="minorHAnsi"/>
                <w:sz w:val="20"/>
                <w:szCs w:val="20"/>
                <w:lang w:val="en-US"/>
              </w:rPr>
            </w:pPr>
            <w:r w:rsidRPr="00250E94">
              <w:rPr>
                <w:rFonts w:eastAsiaTheme="minorHAnsi"/>
                <w:sz w:val="20"/>
                <w:szCs w:val="20"/>
                <w:lang w:val="en-US"/>
              </w:rPr>
              <w:t>No information</w:t>
            </w:r>
          </w:p>
        </w:tc>
        <w:tc>
          <w:tcPr>
            <w:tcW w:w="3690" w:type="dxa"/>
            <w:tcBorders>
              <w:top w:val="single" w:sz="4" w:space="0" w:color="000000"/>
              <w:left w:val="single" w:sz="4" w:space="0" w:color="auto"/>
              <w:bottom w:val="single" w:sz="4" w:space="0" w:color="000000"/>
              <w:right w:val="single" w:sz="4" w:space="0" w:color="auto"/>
            </w:tcBorders>
          </w:tcPr>
          <w:p w14:paraId="536E1C38" w14:textId="77777777" w:rsidR="00E73BD8" w:rsidRPr="00250E94" w:rsidRDefault="00E73BD8" w:rsidP="00B27F75">
            <w:pPr>
              <w:widowControl w:val="0"/>
              <w:spacing w:after="200" w:line="240" w:lineRule="auto"/>
              <w:rPr>
                <w:rFonts w:eastAsiaTheme="minorHAnsi"/>
                <w:sz w:val="20"/>
                <w:szCs w:val="20"/>
                <w:lang w:val="en-US"/>
              </w:rPr>
            </w:pPr>
            <w:r w:rsidRPr="00250E94">
              <w:rPr>
                <w:rFonts w:eastAsiaTheme="minorHAnsi"/>
                <w:sz w:val="20"/>
                <w:szCs w:val="20"/>
                <w:lang w:val="en-US"/>
              </w:rPr>
              <w:t>Unknown</w:t>
            </w:r>
          </w:p>
        </w:tc>
        <w:tc>
          <w:tcPr>
            <w:tcW w:w="1530" w:type="dxa"/>
            <w:tcBorders>
              <w:top w:val="single" w:sz="4" w:space="0" w:color="000000"/>
              <w:left w:val="single" w:sz="4" w:space="0" w:color="auto"/>
              <w:bottom w:val="single" w:sz="4" w:space="0" w:color="000000"/>
              <w:right w:val="single" w:sz="4" w:space="0" w:color="auto"/>
            </w:tcBorders>
          </w:tcPr>
          <w:p w14:paraId="423D6576" w14:textId="77777777" w:rsidR="00E73BD8" w:rsidRPr="00250E94" w:rsidRDefault="00E73BD8" w:rsidP="00B27F75">
            <w:pPr>
              <w:widowControl w:val="0"/>
              <w:spacing w:after="200" w:line="240" w:lineRule="auto"/>
              <w:jc w:val="center"/>
              <w:rPr>
                <w:rFonts w:eastAsiaTheme="minorHAnsi"/>
                <w:sz w:val="20"/>
                <w:szCs w:val="20"/>
                <w:lang w:val="en-US"/>
              </w:rPr>
            </w:pPr>
            <w:r w:rsidRPr="00250E94">
              <w:rPr>
                <w:rFonts w:eastAsiaTheme="minorHAnsi"/>
                <w:sz w:val="20"/>
                <w:szCs w:val="20"/>
                <w:lang w:val="en-US"/>
              </w:rPr>
              <w:t>N.D.</w:t>
            </w:r>
          </w:p>
        </w:tc>
        <w:tc>
          <w:tcPr>
            <w:tcW w:w="1440" w:type="dxa"/>
            <w:tcBorders>
              <w:top w:val="single" w:sz="4" w:space="0" w:color="000000"/>
              <w:left w:val="single" w:sz="4" w:space="0" w:color="auto"/>
              <w:bottom w:val="single" w:sz="4" w:space="0" w:color="000000"/>
              <w:right w:val="single" w:sz="4" w:space="0" w:color="auto"/>
            </w:tcBorders>
          </w:tcPr>
          <w:p w14:paraId="486A46E5" w14:textId="77777777" w:rsidR="00E73BD8" w:rsidRPr="00250E94" w:rsidRDefault="00E73BD8" w:rsidP="00B27F75">
            <w:pPr>
              <w:widowControl w:val="0"/>
              <w:spacing w:after="200" w:line="240" w:lineRule="auto"/>
              <w:jc w:val="center"/>
              <w:rPr>
                <w:rFonts w:eastAsiaTheme="minorHAnsi"/>
                <w:b/>
                <w:sz w:val="20"/>
                <w:szCs w:val="20"/>
                <w:lang w:val="en-US"/>
              </w:rPr>
            </w:pPr>
            <w:r w:rsidRPr="00250E94">
              <w:rPr>
                <w:rFonts w:eastAsiaTheme="minorHAnsi"/>
                <w:b/>
                <w:sz w:val="20"/>
                <w:szCs w:val="20"/>
                <w:lang w:val="en-US"/>
              </w:rPr>
              <w:t>No information</w:t>
            </w:r>
          </w:p>
        </w:tc>
      </w:tr>
      <w:tr w:rsidR="00E73BD8" w:rsidRPr="00250E94" w14:paraId="52E38DBA" w14:textId="77777777" w:rsidTr="00B27F75">
        <w:trPr>
          <w:trHeight w:hRule="exact" w:val="442"/>
        </w:trPr>
        <w:tc>
          <w:tcPr>
            <w:tcW w:w="1633" w:type="dxa"/>
            <w:tcBorders>
              <w:top w:val="single" w:sz="4" w:space="0" w:color="000000"/>
              <w:left w:val="single" w:sz="4" w:space="0" w:color="auto"/>
              <w:bottom w:val="single" w:sz="4" w:space="0" w:color="000000"/>
              <w:right w:val="single" w:sz="4" w:space="0" w:color="auto"/>
            </w:tcBorders>
          </w:tcPr>
          <w:p w14:paraId="054A49BF" w14:textId="77777777" w:rsidR="00E73BD8" w:rsidRPr="00250E94" w:rsidRDefault="00E73BD8" w:rsidP="00B27F75">
            <w:pPr>
              <w:widowControl w:val="0"/>
              <w:spacing w:after="200" w:line="240" w:lineRule="auto"/>
              <w:rPr>
                <w:rFonts w:eastAsiaTheme="minorHAnsi"/>
                <w:sz w:val="20"/>
                <w:szCs w:val="20"/>
                <w:lang w:val="en-US"/>
              </w:rPr>
            </w:pPr>
            <w:r w:rsidRPr="00250E94">
              <w:rPr>
                <w:rFonts w:eastAsiaTheme="minorHAnsi"/>
                <w:sz w:val="20"/>
                <w:szCs w:val="20"/>
                <w:lang w:val="en-US"/>
              </w:rPr>
              <w:t>4226, MB027</w:t>
            </w:r>
          </w:p>
        </w:tc>
        <w:tc>
          <w:tcPr>
            <w:tcW w:w="2408" w:type="dxa"/>
            <w:tcBorders>
              <w:top w:val="single" w:sz="4" w:space="0" w:color="000000"/>
              <w:left w:val="single" w:sz="4" w:space="0" w:color="auto"/>
              <w:bottom w:val="single" w:sz="4" w:space="0" w:color="000000"/>
              <w:right w:val="single" w:sz="4" w:space="0" w:color="auto"/>
            </w:tcBorders>
          </w:tcPr>
          <w:p w14:paraId="0DFBE7D3" w14:textId="77777777" w:rsidR="00E73BD8" w:rsidRPr="00250E94" w:rsidRDefault="00E73BD8" w:rsidP="00B27F75">
            <w:pPr>
              <w:widowControl w:val="0"/>
              <w:spacing w:after="200" w:line="240" w:lineRule="auto"/>
              <w:rPr>
                <w:rFonts w:eastAsiaTheme="minorHAnsi"/>
                <w:sz w:val="20"/>
                <w:szCs w:val="20"/>
                <w:lang w:val="en-US"/>
              </w:rPr>
            </w:pPr>
            <w:r w:rsidRPr="00250E94">
              <w:rPr>
                <w:rFonts w:eastAsiaTheme="minorHAnsi"/>
                <w:sz w:val="20"/>
                <w:szCs w:val="20"/>
                <w:lang w:val="en-US"/>
              </w:rPr>
              <w:t>Most similar to Tell el-Dab'a JH083, Southern Palestine</w:t>
            </w:r>
          </w:p>
        </w:tc>
        <w:tc>
          <w:tcPr>
            <w:tcW w:w="2524" w:type="dxa"/>
            <w:tcBorders>
              <w:top w:val="single" w:sz="4" w:space="0" w:color="000000"/>
              <w:left w:val="single" w:sz="4" w:space="0" w:color="auto"/>
              <w:bottom w:val="single" w:sz="4" w:space="0" w:color="000000"/>
              <w:right w:val="single" w:sz="4" w:space="0" w:color="auto"/>
            </w:tcBorders>
          </w:tcPr>
          <w:p w14:paraId="13F94F6A" w14:textId="77777777" w:rsidR="00E73BD8" w:rsidRPr="00250E94" w:rsidRDefault="00E73BD8" w:rsidP="00B27F75">
            <w:pPr>
              <w:widowControl w:val="0"/>
              <w:spacing w:after="200" w:line="240" w:lineRule="auto"/>
              <w:rPr>
                <w:rFonts w:eastAsiaTheme="minorHAnsi"/>
                <w:sz w:val="20"/>
                <w:szCs w:val="20"/>
                <w:lang w:val="en-US"/>
              </w:rPr>
            </w:pPr>
            <w:r w:rsidRPr="00250E94">
              <w:rPr>
                <w:rFonts w:eastAsiaTheme="minorHAnsi"/>
                <w:sz w:val="20"/>
                <w:szCs w:val="20"/>
                <w:lang w:val="en-US"/>
              </w:rPr>
              <w:t>Not recorded</w:t>
            </w:r>
          </w:p>
        </w:tc>
        <w:tc>
          <w:tcPr>
            <w:tcW w:w="1256" w:type="dxa"/>
            <w:tcBorders>
              <w:top w:val="single" w:sz="4" w:space="0" w:color="000000"/>
              <w:left w:val="single" w:sz="4" w:space="0" w:color="auto"/>
              <w:bottom w:val="single" w:sz="4" w:space="0" w:color="000000"/>
              <w:right w:val="single" w:sz="4" w:space="0" w:color="auto"/>
            </w:tcBorders>
          </w:tcPr>
          <w:p w14:paraId="5E684D1A" w14:textId="77777777" w:rsidR="00E73BD8" w:rsidRPr="00250E94" w:rsidRDefault="00E73BD8" w:rsidP="00B27F75">
            <w:pPr>
              <w:widowControl w:val="0"/>
              <w:spacing w:after="200" w:line="240" w:lineRule="auto"/>
              <w:jc w:val="center"/>
              <w:rPr>
                <w:rFonts w:eastAsiaTheme="minorHAnsi"/>
                <w:sz w:val="20"/>
                <w:szCs w:val="20"/>
                <w:lang w:val="en-US"/>
              </w:rPr>
            </w:pPr>
            <w:r w:rsidRPr="00250E94">
              <w:rPr>
                <w:rFonts w:eastAsiaTheme="minorHAnsi"/>
                <w:sz w:val="20"/>
                <w:szCs w:val="20"/>
                <w:lang w:val="en-US"/>
              </w:rPr>
              <w:t>No information</w:t>
            </w:r>
          </w:p>
        </w:tc>
        <w:tc>
          <w:tcPr>
            <w:tcW w:w="3690" w:type="dxa"/>
            <w:tcBorders>
              <w:top w:val="single" w:sz="4" w:space="0" w:color="000000"/>
              <w:left w:val="single" w:sz="4" w:space="0" w:color="auto"/>
              <w:bottom w:val="single" w:sz="4" w:space="0" w:color="000000"/>
              <w:right w:val="single" w:sz="4" w:space="0" w:color="auto"/>
            </w:tcBorders>
          </w:tcPr>
          <w:p w14:paraId="6262D61B" w14:textId="77777777" w:rsidR="00E73BD8" w:rsidRPr="00250E94" w:rsidRDefault="00E73BD8" w:rsidP="00B27F75">
            <w:pPr>
              <w:widowControl w:val="0"/>
              <w:spacing w:after="200" w:line="240" w:lineRule="auto"/>
              <w:rPr>
                <w:rFonts w:eastAsiaTheme="minorHAnsi"/>
                <w:sz w:val="20"/>
                <w:szCs w:val="20"/>
                <w:lang w:val="en-US"/>
              </w:rPr>
            </w:pPr>
            <w:r w:rsidRPr="00250E94">
              <w:rPr>
                <w:rFonts w:eastAsiaTheme="minorHAnsi"/>
                <w:sz w:val="20"/>
                <w:szCs w:val="20"/>
                <w:lang w:val="en-US"/>
              </w:rPr>
              <w:t>Undetermined northern Levant</w:t>
            </w:r>
          </w:p>
        </w:tc>
        <w:tc>
          <w:tcPr>
            <w:tcW w:w="1530" w:type="dxa"/>
            <w:tcBorders>
              <w:top w:val="single" w:sz="4" w:space="0" w:color="000000"/>
              <w:left w:val="single" w:sz="4" w:space="0" w:color="auto"/>
              <w:bottom w:val="single" w:sz="4" w:space="0" w:color="000000"/>
              <w:right w:val="single" w:sz="4" w:space="0" w:color="auto"/>
            </w:tcBorders>
          </w:tcPr>
          <w:p w14:paraId="04BCA6B9" w14:textId="77777777" w:rsidR="00E73BD8" w:rsidRPr="00250E94" w:rsidRDefault="00E73BD8" w:rsidP="00B27F75">
            <w:pPr>
              <w:widowControl w:val="0"/>
              <w:spacing w:after="200" w:line="240" w:lineRule="auto"/>
              <w:jc w:val="center"/>
              <w:rPr>
                <w:rFonts w:eastAsiaTheme="minorHAnsi"/>
                <w:sz w:val="20"/>
                <w:szCs w:val="20"/>
                <w:lang w:val="en-US"/>
              </w:rPr>
            </w:pPr>
            <w:r w:rsidRPr="00250E94">
              <w:rPr>
                <w:rFonts w:eastAsiaTheme="minorHAnsi"/>
                <w:sz w:val="20"/>
                <w:szCs w:val="20"/>
                <w:lang w:val="en-US"/>
              </w:rPr>
              <w:t>-</w:t>
            </w:r>
          </w:p>
        </w:tc>
        <w:tc>
          <w:tcPr>
            <w:tcW w:w="1440" w:type="dxa"/>
            <w:tcBorders>
              <w:top w:val="single" w:sz="4" w:space="0" w:color="000000"/>
              <w:left w:val="single" w:sz="4" w:space="0" w:color="auto"/>
              <w:bottom w:val="single" w:sz="4" w:space="0" w:color="000000"/>
              <w:right w:val="single" w:sz="4" w:space="0" w:color="auto"/>
            </w:tcBorders>
          </w:tcPr>
          <w:p w14:paraId="5454C3AC" w14:textId="77777777" w:rsidR="00E73BD8" w:rsidRPr="00250E94" w:rsidRDefault="00E73BD8" w:rsidP="00B27F75">
            <w:pPr>
              <w:widowControl w:val="0"/>
              <w:spacing w:after="200" w:line="240" w:lineRule="auto"/>
              <w:jc w:val="center"/>
              <w:rPr>
                <w:rFonts w:eastAsiaTheme="minorHAnsi"/>
                <w:b/>
                <w:sz w:val="20"/>
                <w:szCs w:val="20"/>
                <w:lang w:val="en-US"/>
              </w:rPr>
            </w:pPr>
            <w:r w:rsidRPr="00250E94">
              <w:rPr>
                <w:rFonts w:eastAsiaTheme="minorHAnsi"/>
                <w:b/>
                <w:sz w:val="20"/>
                <w:szCs w:val="20"/>
                <w:lang w:val="en-US"/>
              </w:rPr>
              <w:t>No information</w:t>
            </w:r>
          </w:p>
        </w:tc>
      </w:tr>
      <w:tr w:rsidR="00E73BD8" w:rsidRPr="00250E94" w14:paraId="6768A710" w14:textId="77777777" w:rsidTr="00B27F75">
        <w:trPr>
          <w:trHeight w:hRule="exact" w:val="280"/>
        </w:trPr>
        <w:tc>
          <w:tcPr>
            <w:tcW w:w="1633" w:type="dxa"/>
            <w:tcBorders>
              <w:top w:val="single" w:sz="4" w:space="0" w:color="000000"/>
              <w:left w:val="single" w:sz="4" w:space="0" w:color="auto"/>
              <w:bottom w:val="single" w:sz="4" w:space="0" w:color="000000"/>
              <w:right w:val="single" w:sz="4" w:space="0" w:color="auto"/>
            </w:tcBorders>
          </w:tcPr>
          <w:p w14:paraId="7EC0F627" w14:textId="77777777" w:rsidR="00E73BD8" w:rsidRPr="00250E94" w:rsidRDefault="00E73BD8" w:rsidP="00B27F75">
            <w:pPr>
              <w:widowControl w:val="0"/>
              <w:spacing w:after="200" w:line="240" w:lineRule="auto"/>
              <w:rPr>
                <w:rFonts w:eastAsiaTheme="minorHAnsi"/>
                <w:sz w:val="20"/>
                <w:szCs w:val="20"/>
                <w:lang w:val="en-US"/>
              </w:rPr>
            </w:pPr>
            <w:r w:rsidRPr="00250E94">
              <w:rPr>
                <w:rFonts w:eastAsiaTheme="minorHAnsi"/>
                <w:sz w:val="20"/>
                <w:szCs w:val="20"/>
                <w:lang w:val="en-US"/>
              </w:rPr>
              <w:t>4426C, JH064</w:t>
            </w:r>
          </w:p>
        </w:tc>
        <w:tc>
          <w:tcPr>
            <w:tcW w:w="2408" w:type="dxa"/>
            <w:tcBorders>
              <w:top w:val="single" w:sz="4" w:space="0" w:color="000000"/>
              <w:left w:val="single" w:sz="4" w:space="0" w:color="auto"/>
              <w:bottom w:val="single" w:sz="4" w:space="0" w:color="000000"/>
              <w:right w:val="single" w:sz="4" w:space="0" w:color="auto"/>
            </w:tcBorders>
          </w:tcPr>
          <w:p w14:paraId="4BB0315A" w14:textId="77777777" w:rsidR="00E73BD8" w:rsidRPr="00250E94" w:rsidRDefault="00E73BD8" w:rsidP="00B27F75">
            <w:pPr>
              <w:widowControl w:val="0"/>
              <w:spacing w:after="200" w:line="240" w:lineRule="auto"/>
              <w:rPr>
                <w:rFonts w:eastAsiaTheme="minorHAnsi"/>
                <w:sz w:val="20"/>
                <w:szCs w:val="20"/>
                <w:lang w:val="en-US"/>
              </w:rPr>
            </w:pPr>
            <w:r w:rsidRPr="00250E94">
              <w:rPr>
                <w:rFonts w:eastAsiaTheme="minorHAnsi"/>
                <w:sz w:val="20"/>
                <w:szCs w:val="20"/>
                <w:lang w:val="en-US"/>
              </w:rPr>
              <w:t>Southern Palestine</w:t>
            </w:r>
          </w:p>
        </w:tc>
        <w:tc>
          <w:tcPr>
            <w:tcW w:w="2524" w:type="dxa"/>
            <w:tcBorders>
              <w:top w:val="single" w:sz="4" w:space="0" w:color="000000"/>
              <w:left w:val="single" w:sz="4" w:space="0" w:color="auto"/>
              <w:bottom w:val="single" w:sz="4" w:space="0" w:color="000000"/>
              <w:right w:val="single" w:sz="4" w:space="0" w:color="auto"/>
            </w:tcBorders>
          </w:tcPr>
          <w:p w14:paraId="416214D9" w14:textId="77777777" w:rsidR="00E73BD8" w:rsidRPr="00250E94" w:rsidRDefault="00E73BD8" w:rsidP="00B27F75">
            <w:pPr>
              <w:widowControl w:val="0"/>
              <w:spacing w:after="200" w:line="240" w:lineRule="auto"/>
              <w:rPr>
                <w:rFonts w:eastAsiaTheme="minorHAnsi"/>
                <w:sz w:val="20"/>
                <w:szCs w:val="20"/>
                <w:lang w:val="en-US"/>
              </w:rPr>
            </w:pPr>
            <w:r w:rsidRPr="00250E94">
              <w:rPr>
                <w:rFonts w:eastAsiaTheme="minorHAnsi"/>
                <w:sz w:val="20"/>
                <w:szCs w:val="20"/>
                <w:lang w:val="en-US"/>
              </w:rPr>
              <w:t>Not recorded</w:t>
            </w:r>
          </w:p>
        </w:tc>
        <w:tc>
          <w:tcPr>
            <w:tcW w:w="1256" w:type="dxa"/>
            <w:tcBorders>
              <w:top w:val="single" w:sz="4" w:space="0" w:color="000000"/>
              <w:left w:val="single" w:sz="4" w:space="0" w:color="auto"/>
              <w:bottom w:val="single" w:sz="4" w:space="0" w:color="000000"/>
              <w:right w:val="single" w:sz="4" w:space="0" w:color="auto"/>
            </w:tcBorders>
          </w:tcPr>
          <w:p w14:paraId="6AC6A9C9" w14:textId="77777777" w:rsidR="00E73BD8" w:rsidRPr="00250E94" w:rsidRDefault="00E73BD8" w:rsidP="00B27F75">
            <w:pPr>
              <w:widowControl w:val="0"/>
              <w:spacing w:after="200" w:line="240" w:lineRule="auto"/>
              <w:jc w:val="center"/>
              <w:rPr>
                <w:rFonts w:eastAsiaTheme="minorHAnsi"/>
                <w:sz w:val="20"/>
                <w:szCs w:val="20"/>
                <w:lang w:val="en-US"/>
              </w:rPr>
            </w:pPr>
            <w:r w:rsidRPr="00250E94">
              <w:rPr>
                <w:rFonts w:eastAsiaTheme="minorHAnsi"/>
                <w:sz w:val="20"/>
                <w:szCs w:val="20"/>
                <w:lang w:val="en-US"/>
              </w:rPr>
              <w:t>No information</w:t>
            </w:r>
          </w:p>
        </w:tc>
        <w:tc>
          <w:tcPr>
            <w:tcW w:w="3690" w:type="dxa"/>
            <w:tcBorders>
              <w:top w:val="single" w:sz="4" w:space="0" w:color="000000"/>
              <w:left w:val="single" w:sz="4" w:space="0" w:color="auto"/>
              <w:bottom w:val="single" w:sz="4" w:space="0" w:color="000000"/>
              <w:right w:val="single" w:sz="4" w:space="0" w:color="auto"/>
            </w:tcBorders>
          </w:tcPr>
          <w:p w14:paraId="626C85DE" w14:textId="77777777" w:rsidR="00E73BD8" w:rsidRPr="00250E94" w:rsidRDefault="00E73BD8" w:rsidP="00B27F75">
            <w:pPr>
              <w:widowControl w:val="0"/>
              <w:spacing w:after="200" w:line="240" w:lineRule="auto"/>
              <w:rPr>
                <w:rFonts w:eastAsiaTheme="minorHAnsi"/>
                <w:sz w:val="20"/>
                <w:szCs w:val="20"/>
                <w:lang w:val="en-US"/>
              </w:rPr>
            </w:pPr>
            <w:r w:rsidRPr="00250E94">
              <w:rPr>
                <w:rFonts w:eastAsiaTheme="minorHAnsi"/>
                <w:sz w:val="20"/>
                <w:szCs w:val="20"/>
                <w:lang w:val="en-US"/>
              </w:rPr>
              <w:t>Judea/Samaria/Galilee mountains</w:t>
            </w:r>
          </w:p>
        </w:tc>
        <w:tc>
          <w:tcPr>
            <w:tcW w:w="1530" w:type="dxa"/>
            <w:tcBorders>
              <w:top w:val="single" w:sz="4" w:space="0" w:color="000000"/>
              <w:left w:val="single" w:sz="4" w:space="0" w:color="auto"/>
              <w:bottom w:val="single" w:sz="4" w:space="0" w:color="000000"/>
              <w:right w:val="single" w:sz="4" w:space="0" w:color="auto"/>
            </w:tcBorders>
          </w:tcPr>
          <w:p w14:paraId="78588D9B" w14:textId="77777777" w:rsidR="00E73BD8" w:rsidRPr="00250E94" w:rsidRDefault="00E73BD8" w:rsidP="00B27F75">
            <w:pPr>
              <w:widowControl w:val="0"/>
              <w:spacing w:after="200" w:line="240" w:lineRule="auto"/>
              <w:jc w:val="center"/>
              <w:rPr>
                <w:rFonts w:eastAsiaTheme="minorHAnsi"/>
                <w:sz w:val="20"/>
                <w:szCs w:val="20"/>
                <w:lang w:val="en-US"/>
              </w:rPr>
            </w:pPr>
            <w:r w:rsidRPr="00250E94">
              <w:rPr>
                <w:rFonts w:eastAsiaTheme="minorHAnsi"/>
                <w:sz w:val="20"/>
                <w:szCs w:val="20"/>
                <w:lang w:val="en-US"/>
              </w:rPr>
              <w:t>? (should be -)</w:t>
            </w:r>
          </w:p>
        </w:tc>
        <w:tc>
          <w:tcPr>
            <w:tcW w:w="1440" w:type="dxa"/>
            <w:tcBorders>
              <w:top w:val="single" w:sz="4" w:space="0" w:color="000000"/>
              <w:left w:val="single" w:sz="4" w:space="0" w:color="auto"/>
              <w:bottom w:val="single" w:sz="4" w:space="0" w:color="000000"/>
              <w:right w:val="single" w:sz="4" w:space="0" w:color="auto"/>
            </w:tcBorders>
          </w:tcPr>
          <w:p w14:paraId="783D6C17" w14:textId="77777777" w:rsidR="00E73BD8" w:rsidRPr="00250E94" w:rsidRDefault="00E73BD8" w:rsidP="00B27F75">
            <w:pPr>
              <w:widowControl w:val="0"/>
              <w:spacing w:after="200" w:line="240" w:lineRule="auto"/>
              <w:jc w:val="center"/>
              <w:rPr>
                <w:rFonts w:eastAsiaTheme="minorHAnsi"/>
                <w:b/>
                <w:sz w:val="20"/>
                <w:szCs w:val="20"/>
                <w:lang w:val="en-US"/>
              </w:rPr>
            </w:pPr>
            <w:r w:rsidRPr="00250E94">
              <w:rPr>
                <w:rFonts w:eastAsiaTheme="minorHAnsi"/>
                <w:b/>
                <w:sz w:val="20"/>
                <w:szCs w:val="20"/>
                <w:lang w:val="en-US"/>
              </w:rPr>
              <w:t>No information</w:t>
            </w:r>
          </w:p>
        </w:tc>
      </w:tr>
      <w:tr w:rsidR="00E73BD8" w:rsidRPr="00250E94" w14:paraId="11A61D80" w14:textId="77777777" w:rsidTr="00B27F75">
        <w:trPr>
          <w:trHeight w:hRule="exact" w:val="550"/>
        </w:trPr>
        <w:tc>
          <w:tcPr>
            <w:tcW w:w="1633" w:type="dxa"/>
            <w:tcBorders>
              <w:top w:val="single" w:sz="4" w:space="0" w:color="000000"/>
              <w:left w:val="single" w:sz="4" w:space="0" w:color="auto"/>
              <w:bottom w:val="single" w:sz="4" w:space="0" w:color="000000"/>
              <w:right w:val="single" w:sz="4" w:space="0" w:color="auto"/>
            </w:tcBorders>
          </w:tcPr>
          <w:p w14:paraId="34DE02A1" w14:textId="77777777" w:rsidR="00E73BD8" w:rsidRPr="00250E94" w:rsidRDefault="00E73BD8" w:rsidP="00B27F75">
            <w:pPr>
              <w:widowControl w:val="0"/>
              <w:spacing w:after="200" w:line="240" w:lineRule="auto"/>
              <w:rPr>
                <w:rFonts w:eastAsiaTheme="minorHAnsi"/>
                <w:sz w:val="20"/>
                <w:szCs w:val="20"/>
                <w:lang w:val="en-US"/>
              </w:rPr>
            </w:pPr>
            <w:r w:rsidRPr="00250E94">
              <w:rPr>
                <w:rFonts w:eastAsiaTheme="minorHAnsi"/>
                <w:sz w:val="20"/>
                <w:szCs w:val="20"/>
                <w:lang w:val="en-US"/>
              </w:rPr>
              <w:lastRenderedPageBreak/>
              <w:t>4503, JH115</w:t>
            </w:r>
          </w:p>
        </w:tc>
        <w:tc>
          <w:tcPr>
            <w:tcW w:w="2408" w:type="dxa"/>
            <w:tcBorders>
              <w:top w:val="single" w:sz="4" w:space="0" w:color="000000"/>
              <w:left w:val="single" w:sz="4" w:space="0" w:color="auto"/>
              <w:bottom w:val="single" w:sz="4" w:space="0" w:color="000000"/>
              <w:right w:val="single" w:sz="4" w:space="0" w:color="auto"/>
            </w:tcBorders>
          </w:tcPr>
          <w:p w14:paraId="4417B0F5" w14:textId="77777777" w:rsidR="00E73BD8" w:rsidRPr="00250E94" w:rsidRDefault="00E73BD8" w:rsidP="00B27F75">
            <w:pPr>
              <w:widowControl w:val="0"/>
              <w:spacing w:after="200" w:line="240" w:lineRule="auto"/>
              <w:rPr>
                <w:rFonts w:eastAsiaTheme="minorHAnsi"/>
                <w:sz w:val="20"/>
                <w:szCs w:val="20"/>
                <w:lang w:val="en-US"/>
              </w:rPr>
            </w:pPr>
            <w:r w:rsidRPr="00250E94">
              <w:rPr>
                <w:rFonts w:eastAsiaTheme="minorHAnsi"/>
                <w:sz w:val="20"/>
                <w:szCs w:val="20"/>
                <w:lang w:val="en-US"/>
              </w:rPr>
              <w:t>Southern Palestine</w:t>
            </w:r>
          </w:p>
        </w:tc>
        <w:tc>
          <w:tcPr>
            <w:tcW w:w="2524" w:type="dxa"/>
            <w:tcBorders>
              <w:top w:val="single" w:sz="4" w:space="0" w:color="000000"/>
              <w:left w:val="single" w:sz="4" w:space="0" w:color="auto"/>
              <w:bottom w:val="single" w:sz="4" w:space="0" w:color="000000"/>
              <w:right w:val="single" w:sz="4" w:space="0" w:color="auto"/>
            </w:tcBorders>
          </w:tcPr>
          <w:p w14:paraId="5BEC7201" w14:textId="77777777" w:rsidR="00E73BD8" w:rsidRPr="00250E94" w:rsidRDefault="00E73BD8" w:rsidP="00B27F75">
            <w:pPr>
              <w:widowControl w:val="0"/>
              <w:spacing w:after="200" w:line="240" w:lineRule="auto"/>
              <w:rPr>
                <w:rFonts w:eastAsiaTheme="minorHAnsi"/>
                <w:sz w:val="20"/>
                <w:szCs w:val="20"/>
                <w:lang w:val="en-US"/>
              </w:rPr>
            </w:pPr>
            <w:bookmarkStart w:id="69" w:name="_Hlk8455994"/>
            <w:r w:rsidRPr="00250E94">
              <w:rPr>
                <w:rFonts w:eastAsiaTheme="minorHAnsi"/>
                <w:sz w:val="20"/>
                <w:szCs w:val="20"/>
                <w:lang w:val="en-US"/>
              </w:rPr>
              <w:t xml:space="preserve">Southern Coastal Plain </w:t>
            </w:r>
            <w:bookmarkEnd w:id="69"/>
            <w:r w:rsidRPr="00250E94">
              <w:rPr>
                <w:rFonts w:eastAsiaTheme="minorHAnsi"/>
                <w:sz w:val="20"/>
                <w:szCs w:val="20"/>
                <w:lang w:val="en-US"/>
              </w:rPr>
              <w:t>(Southern Palestine)</w:t>
            </w:r>
          </w:p>
        </w:tc>
        <w:tc>
          <w:tcPr>
            <w:tcW w:w="1256" w:type="dxa"/>
            <w:tcBorders>
              <w:top w:val="single" w:sz="4" w:space="0" w:color="000000"/>
              <w:left w:val="single" w:sz="4" w:space="0" w:color="auto"/>
              <w:bottom w:val="single" w:sz="4" w:space="0" w:color="000000"/>
              <w:right w:val="single" w:sz="4" w:space="0" w:color="auto"/>
            </w:tcBorders>
          </w:tcPr>
          <w:p w14:paraId="18DE89C0" w14:textId="77777777" w:rsidR="00E73BD8" w:rsidRPr="00250E94" w:rsidRDefault="00E73BD8" w:rsidP="00B27F75">
            <w:pPr>
              <w:widowControl w:val="0"/>
              <w:spacing w:after="200" w:line="240" w:lineRule="auto"/>
              <w:jc w:val="center"/>
              <w:rPr>
                <w:rFonts w:eastAsiaTheme="minorHAnsi"/>
                <w:sz w:val="20"/>
                <w:szCs w:val="20"/>
                <w:lang w:val="en-US"/>
              </w:rPr>
            </w:pPr>
            <w:r w:rsidRPr="00250E94">
              <w:rPr>
                <w:rFonts w:eastAsiaTheme="minorHAnsi"/>
                <w:sz w:val="20"/>
                <w:szCs w:val="20"/>
                <w:lang w:val="en-US"/>
              </w:rPr>
              <w:t>+</w:t>
            </w:r>
          </w:p>
        </w:tc>
        <w:tc>
          <w:tcPr>
            <w:tcW w:w="3690" w:type="dxa"/>
            <w:tcBorders>
              <w:top w:val="single" w:sz="4" w:space="0" w:color="000000"/>
              <w:left w:val="single" w:sz="4" w:space="0" w:color="auto"/>
              <w:bottom w:val="single" w:sz="4" w:space="0" w:color="000000"/>
              <w:right w:val="single" w:sz="4" w:space="0" w:color="auto"/>
            </w:tcBorders>
          </w:tcPr>
          <w:p w14:paraId="2C57481E" w14:textId="77777777" w:rsidR="00E73BD8" w:rsidRPr="00250E94" w:rsidRDefault="00E73BD8" w:rsidP="00B27F75">
            <w:pPr>
              <w:widowControl w:val="0"/>
              <w:spacing w:after="200" w:line="240" w:lineRule="auto"/>
              <w:rPr>
                <w:rFonts w:eastAsiaTheme="minorHAnsi"/>
                <w:sz w:val="20"/>
                <w:szCs w:val="20"/>
                <w:lang w:val="en-US"/>
              </w:rPr>
            </w:pPr>
            <w:r w:rsidRPr="00250E94">
              <w:rPr>
                <w:rFonts w:eastAsiaTheme="minorHAnsi"/>
                <w:sz w:val="20"/>
                <w:szCs w:val="20"/>
                <w:lang w:val="en-US"/>
              </w:rPr>
              <w:t>Negev coastal plain in Israel</w:t>
            </w:r>
          </w:p>
        </w:tc>
        <w:tc>
          <w:tcPr>
            <w:tcW w:w="1530" w:type="dxa"/>
            <w:tcBorders>
              <w:top w:val="single" w:sz="4" w:space="0" w:color="000000"/>
              <w:left w:val="single" w:sz="4" w:space="0" w:color="auto"/>
              <w:bottom w:val="single" w:sz="4" w:space="0" w:color="000000"/>
              <w:right w:val="single" w:sz="4" w:space="0" w:color="auto"/>
            </w:tcBorders>
          </w:tcPr>
          <w:p w14:paraId="2B7677AC" w14:textId="77777777" w:rsidR="00E73BD8" w:rsidRPr="00250E94" w:rsidRDefault="00E73BD8" w:rsidP="00B27F75">
            <w:pPr>
              <w:widowControl w:val="0"/>
              <w:spacing w:after="200" w:line="240" w:lineRule="auto"/>
              <w:jc w:val="center"/>
              <w:rPr>
                <w:rFonts w:eastAsiaTheme="minorHAnsi"/>
                <w:sz w:val="20"/>
                <w:szCs w:val="20"/>
                <w:lang w:val="en-US"/>
              </w:rPr>
            </w:pPr>
            <w:r w:rsidRPr="00250E94">
              <w:rPr>
                <w:rFonts w:eastAsiaTheme="minorHAnsi"/>
                <w:sz w:val="20"/>
                <w:szCs w:val="20"/>
                <w:lang w:val="en-US"/>
              </w:rPr>
              <w:t>+</w:t>
            </w:r>
          </w:p>
        </w:tc>
        <w:tc>
          <w:tcPr>
            <w:tcW w:w="1440" w:type="dxa"/>
            <w:tcBorders>
              <w:top w:val="single" w:sz="4" w:space="0" w:color="000000"/>
              <w:left w:val="single" w:sz="4" w:space="0" w:color="auto"/>
              <w:bottom w:val="single" w:sz="4" w:space="0" w:color="000000"/>
              <w:right w:val="single" w:sz="4" w:space="0" w:color="auto"/>
            </w:tcBorders>
          </w:tcPr>
          <w:p w14:paraId="7AD9D3FA" w14:textId="77777777" w:rsidR="00E73BD8" w:rsidRPr="00250E94" w:rsidRDefault="00E73BD8" w:rsidP="00B27F75">
            <w:pPr>
              <w:widowControl w:val="0"/>
              <w:spacing w:after="200" w:line="240" w:lineRule="auto"/>
              <w:jc w:val="center"/>
              <w:rPr>
                <w:rFonts w:eastAsiaTheme="minorHAnsi"/>
                <w:b/>
                <w:sz w:val="20"/>
                <w:szCs w:val="20"/>
                <w:lang w:val="en-US"/>
              </w:rPr>
            </w:pPr>
            <w:r w:rsidRPr="00250E94">
              <w:rPr>
                <w:rFonts w:eastAsiaTheme="minorHAnsi"/>
                <w:b/>
                <w:sz w:val="20"/>
                <w:szCs w:val="20"/>
                <w:lang w:val="en-US"/>
              </w:rPr>
              <w:t>+</w:t>
            </w:r>
          </w:p>
        </w:tc>
      </w:tr>
      <w:tr w:rsidR="00E73BD8" w:rsidRPr="00250E94" w14:paraId="30646D9D" w14:textId="77777777" w:rsidTr="00B27F75">
        <w:trPr>
          <w:trHeight w:hRule="exact" w:val="442"/>
        </w:trPr>
        <w:tc>
          <w:tcPr>
            <w:tcW w:w="1633" w:type="dxa"/>
            <w:tcBorders>
              <w:top w:val="single" w:sz="4" w:space="0" w:color="000000"/>
              <w:left w:val="single" w:sz="4" w:space="0" w:color="auto"/>
              <w:bottom w:val="single" w:sz="3" w:space="0" w:color="000000"/>
              <w:right w:val="single" w:sz="4" w:space="0" w:color="auto"/>
            </w:tcBorders>
          </w:tcPr>
          <w:p w14:paraId="2CC67EC2" w14:textId="77777777" w:rsidR="00E73BD8" w:rsidRPr="00250E94" w:rsidRDefault="00E73BD8" w:rsidP="00B27F75">
            <w:pPr>
              <w:widowControl w:val="0"/>
              <w:spacing w:after="200" w:line="240" w:lineRule="auto"/>
              <w:rPr>
                <w:rFonts w:eastAsiaTheme="minorHAnsi"/>
                <w:sz w:val="20"/>
                <w:szCs w:val="20"/>
                <w:lang w:val="en-US"/>
              </w:rPr>
            </w:pPr>
            <w:r w:rsidRPr="00250E94">
              <w:rPr>
                <w:rFonts w:eastAsiaTheme="minorHAnsi"/>
                <w:sz w:val="20"/>
                <w:szCs w:val="20"/>
                <w:lang w:val="en-US"/>
              </w:rPr>
              <w:t>4505A, JH061</w:t>
            </w:r>
          </w:p>
        </w:tc>
        <w:tc>
          <w:tcPr>
            <w:tcW w:w="2408" w:type="dxa"/>
            <w:tcBorders>
              <w:top w:val="single" w:sz="4" w:space="0" w:color="000000"/>
              <w:left w:val="single" w:sz="4" w:space="0" w:color="auto"/>
              <w:bottom w:val="single" w:sz="4" w:space="0" w:color="000000"/>
              <w:right w:val="single" w:sz="4" w:space="0" w:color="auto"/>
            </w:tcBorders>
          </w:tcPr>
          <w:p w14:paraId="55F9A859" w14:textId="77777777" w:rsidR="00E73BD8" w:rsidRPr="00250E94" w:rsidRDefault="00E73BD8" w:rsidP="00B27F75">
            <w:pPr>
              <w:widowControl w:val="0"/>
              <w:spacing w:after="200" w:line="240" w:lineRule="auto"/>
              <w:rPr>
                <w:rFonts w:eastAsiaTheme="minorHAnsi"/>
                <w:sz w:val="20"/>
                <w:szCs w:val="20"/>
                <w:lang w:val="en-US"/>
              </w:rPr>
            </w:pPr>
            <w:r w:rsidRPr="00250E94">
              <w:rPr>
                <w:rFonts w:eastAsiaTheme="minorHAnsi"/>
                <w:sz w:val="20"/>
                <w:szCs w:val="20"/>
                <w:lang w:val="en-US"/>
              </w:rPr>
              <w:t>? (possibly Southern Palestine)</w:t>
            </w:r>
          </w:p>
        </w:tc>
        <w:tc>
          <w:tcPr>
            <w:tcW w:w="2524" w:type="dxa"/>
            <w:tcBorders>
              <w:top w:val="single" w:sz="4" w:space="0" w:color="000000"/>
              <w:left w:val="single" w:sz="4" w:space="0" w:color="auto"/>
              <w:bottom w:val="single" w:sz="4" w:space="0" w:color="000000"/>
              <w:right w:val="single" w:sz="4" w:space="0" w:color="auto"/>
            </w:tcBorders>
          </w:tcPr>
          <w:p w14:paraId="65BC504C" w14:textId="77777777" w:rsidR="00E73BD8" w:rsidRPr="00250E94" w:rsidRDefault="00E73BD8" w:rsidP="00B27F75">
            <w:pPr>
              <w:widowControl w:val="0"/>
              <w:spacing w:after="200" w:line="240" w:lineRule="auto"/>
              <w:rPr>
                <w:rFonts w:eastAsiaTheme="minorHAnsi"/>
                <w:sz w:val="20"/>
                <w:szCs w:val="20"/>
                <w:lang w:val="en-US"/>
              </w:rPr>
            </w:pPr>
            <w:r w:rsidRPr="00250E94">
              <w:rPr>
                <w:rFonts w:eastAsiaTheme="minorHAnsi"/>
                <w:sz w:val="20"/>
                <w:szCs w:val="20"/>
                <w:lang w:val="en-US"/>
              </w:rPr>
              <w:t>Southern Coastal Plain (Southern Palestine)</w:t>
            </w:r>
          </w:p>
        </w:tc>
        <w:tc>
          <w:tcPr>
            <w:tcW w:w="1256" w:type="dxa"/>
            <w:tcBorders>
              <w:top w:val="single" w:sz="4" w:space="0" w:color="000000"/>
              <w:left w:val="single" w:sz="4" w:space="0" w:color="auto"/>
              <w:bottom w:val="single" w:sz="4" w:space="0" w:color="000000"/>
              <w:right w:val="single" w:sz="4" w:space="0" w:color="auto"/>
            </w:tcBorders>
          </w:tcPr>
          <w:p w14:paraId="04615804" w14:textId="77777777" w:rsidR="00E73BD8" w:rsidRPr="00250E94" w:rsidRDefault="00E73BD8" w:rsidP="00B27F75">
            <w:pPr>
              <w:widowControl w:val="0"/>
              <w:spacing w:after="200" w:line="240" w:lineRule="auto"/>
              <w:jc w:val="center"/>
              <w:rPr>
                <w:rFonts w:eastAsiaTheme="minorHAnsi"/>
                <w:sz w:val="20"/>
                <w:szCs w:val="20"/>
                <w:lang w:val="en-US"/>
              </w:rPr>
            </w:pPr>
            <w:r w:rsidRPr="00250E94">
              <w:rPr>
                <w:rFonts w:eastAsiaTheme="minorHAnsi"/>
                <w:sz w:val="20"/>
                <w:szCs w:val="20"/>
                <w:lang w:val="en-US"/>
              </w:rPr>
              <w:t>+</w:t>
            </w:r>
          </w:p>
        </w:tc>
        <w:tc>
          <w:tcPr>
            <w:tcW w:w="3690" w:type="dxa"/>
            <w:tcBorders>
              <w:top w:val="single" w:sz="4" w:space="0" w:color="000000"/>
              <w:left w:val="single" w:sz="4" w:space="0" w:color="auto"/>
              <w:bottom w:val="single" w:sz="4" w:space="0" w:color="000000"/>
              <w:right w:val="single" w:sz="4" w:space="0" w:color="auto"/>
            </w:tcBorders>
          </w:tcPr>
          <w:p w14:paraId="257A5437" w14:textId="77777777" w:rsidR="00E73BD8" w:rsidRPr="00250E94" w:rsidRDefault="00E73BD8" w:rsidP="00B27F75">
            <w:pPr>
              <w:widowControl w:val="0"/>
              <w:spacing w:after="200" w:line="240" w:lineRule="auto"/>
              <w:rPr>
                <w:rFonts w:eastAsiaTheme="minorHAnsi"/>
                <w:sz w:val="20"/>
                <w:szCs w:val="20"/>
                <w:lang w:val="en-US"/>
              </w:rPr>
            </w:pPr>
            <w:r w:rsidRPr="00250E94">
              <w:rPr>
                <w:rFonts w:eastAsiaTheme="minorHAnsi"/>
                <w:sz w:val="20"/>
                <w:szCs w:val="20"/>
                <w:lang w:val="en-US"/>
              </w:rPr>
              <w:t>Central coast of Israel</w:t>
            </w:r>
          </w:p>
        </w:tc>
        <w:tc>
          <w:tcPr>
            <w:tcW w:w="1530" w:type="dxa"/>
            <w:tcBorders>
              <w:top w:val="single" w:sz="4" w:space="0" w:color="000000"/>
              <w:left w:val="single" w:sz="4" w:space="0" w:color="auto"/>
              <w:bottom w:val="single" w:sz="4" w:space="0" w:color="000000"/>
              <w:right w:val="single" w:sz="4" w:space="0" w:color="auto"/>
            </w:tcBorders>
          </w:tcPr>
          <w:p w14:paraId="60FD95C0" w14:textId="77777777" w:rsidR="00E73BD8" w:rsidRPr="00250E94" w:rsidRDefault="00E73BD8" w:rsidP="00B27F75">
            <w:pPr>
              <w:widowControl w:val="0"/>
              <w:spacing w:after="200" w:line="240" w:lineRule="auto"/>
              <w:jc w:val="center"/>
              <w:rPr>
                <w:rFonts w:eastAsiaTheme="minorHAnsi"/>
                <w:sz w:val="20"/>
                <w:szCs w:val="20"/>
                <w:lang w:val="en-US"/>
              </w:rPr>
            </w:pPr>
            <w:r w:rsidRPr="00250E94">
              <w:rPr>
                <w:rFonts w:eastAsiaTheme="minorHAnsi"/>
                <w:sz w:val="20"/>
                <w:szCs w:val="20"/>
                <w:lang w:val="en-US"/>
              </w:rPr>
              <w:t>? (should be -)</w:t>
            </w:r>
          </w:p>
        </w:tc>
        <w:tc>
          <w:tcPr>
            <w:tcW w:w="1440" w:type="dxa"/>
            <w:tcBorders>
              <w:top w:val="single" w:sz="4" w:space="0" w:color="000000"/>
              <w:left w:val="single" w:sz="4" w:space="0" w:color="auto"/>
              <w:bottom w:val="single" w:sz="4" w:space="0" w:color="000000"/>
              <w:right w:val="single" w:sz="4" w:space="0" w:color="auto"/>
            </w:tcBorders>
          </w:tcPr>
          <w:p w14:paraId="7B66C36F" w14:textId="77777777" w:rsidR="00E73BD8" w:rsidRPr="00250E94" w:rsidRDefault="00E73BD8" w:rsidP="00B27F75">
            <w:pPr>
              <w:widowControl w:val="0"/>
              <w:spacing w:after="200" w:line="240" w:lineRule="auto"/>
              <w:jc w:val="center"/>
              <w:rPr>
                <w:rFonts w:eastAsiaTheme="minorHAnsi"/>
                <w:b/>
                <w:sz w:val="20"/>
                <w:szCs w:val="20"/>
                <w:lang w:val="en-US"/>
              </w:rPr>
            </w:pPr>
            <w:r w:rsidRPr="00250E94">
              <w:rPr>
                <w:rFonts w:eastAsiaTheme="minorHAnsi"/>
                <w:b/>
                <w:sz w:val="20"/>
                <w:szCs w:val="20"/>
                <w:lang w:val="en-US"/>
              </w:rPr>
              <w:t>-</w:t>
            </w:r>
          </w:p>
        </w:tc>
      </w:tr>
      <w:tr w:rsidR="00E73BD8" w:rsidRPr="00250E94" w14:paraId="1B016079" w14:textId="77777777" w:rsidTr="00B27F75">
        <w:trPr>
          <w:trHeight w:hRule="exact" w:val="496"/>
        </w:trPr>
        <w:tc>
          <w:tcPr>
            <w:tcW w:w="1633" w:type="dxa"/>
            <w:tcBorders>
              <w:top w:val="single" w:sz="3" w:space="0" w:color="000000"/>
              <w:left w:val="single" w:sz="4" w:space="0" w:color="auto"/>
              <w:bottom w:val="single" w:sz="4" w:space="0" w:color="000000"/>
              <w:right w:val="single" w:sz="4" w:space="0" w:color="auto"/>
            </w:tcBorders>
          </w:tcPr>
          <w:p w14:paraId="17CDF648" w14:textId="77777777" w:rsidR="00E73BD8" w:rsidRPr="00250E94" w:rsidRDefault="00E73BD8" w:rsidP="00B27F75">
            <w:pPr>
              <w:widowControl w:val="0"/>
              <w:spacing w:after="200" w:line="240" w:lineRule="auto"/>
              <w:rPr>
                <w:rFonts w:eastAsiaTheme="minorHAnsi"/>
                <w:sz w:val="20"/>
                <w:szCs w:val="20"/>
                <w:lang w:val="en-US"/>
              </w:rPr>
            </w:pPr>
            <w:r w:rsidRPr="00250E94">
              <w:rPr>
                <w:rFonts w:eastAsiaTheme="minorHAnsi"/>
                <w:sz w:val="20"/>
                <w:szCs w:val="20"/>
                <w:lang w:val="en-US"/>
              </w:rPr>
              <w:t>4536, JH089</w:t>
            </w:r>
          </w:p>
        </w:tc>
        <w:tc>
          <w:tcPr>
            <w:tcW w:w="2408" w:type="dxa"/>
            <w:tcBorders>
              <w:top w:val="single" w:sz="4" w:space="0" w:color="000000"/>
              <w:left w:val="single" w:sz="4" w:space="0" w:color="auto"/>
              <w:bottom w:val="single" w:sz="4" w:space="0" w:color="000000"/>
              <w:right w:val="single" w:sz="4" w:space="0" w:color="auto"/>
            </w:tcBorders>
          </w:tcPr>
          <w:p w14:paraId="536DDE41" w14:textId="77777777" w:rsidR="00E73BD8" w:rsidRPr="00250E94" w:rsidRDefault="00E73BD8" w:rsidP="00B27F75">
            <w:pPr>
              <w:widowControl w:val="0"/>
              <w:spacing w:after="200" w:line="240" w:lineRule="auto"/>
              <w:rPr>
                <w:rFonts w:eastAsiaTheme="minorHAnsi"/>
                <w:sz w:val="20"/>
                <w:szCs w:val="20"/>
                <w:lang w:val="en-US"/>
              </w:rPr>
            </w:pPr>
            <w:r w:rsidRPr="00250E94">
              <w:rPr>
                <w:rFonts w:eastAsiaTheme="minorHAnsi"/>
                <w:sz w:val="20"/>
                <w:szCs w:val="20"/>
                <w:lang w:val="en-US"/>
              </w:rPr>
              <w:t>? (possibly Southern Palestine)</w:t>
            </w:r>
          </w:p>
        </w:tc>
        <w:tc>
          <w:tcPr>
            <w:tcW w:w="2524" w:type="dxa"/>
            <w:tcBorders>
              <w:top w:val="single" w:sz="4" w:space="0" w:color="000000"/>
              <w:left w:val="single" w:sz="4" w:space="0" w:color="auto"/>
              <w:bottom w:val="single" w:sz="4" w:space="0" w:color="000000"/>
              <w:right w:val="single" w:sz="4" w:space="0" w:color="auto"/>
            </w:tcBorders>
          </w:tcPr>
          <w:p w14:paraId="38F442FF" w14:textId="77777777" w:rsidR="00E73BD8" w:rsidRPr="00250E94" w:rsidRDefault="00E73BD8" w:rsidP="00B27F75">
            <w:pPr>
              <w:widowControl w:val="0"/>
              <w:spacing w:after="200" w:line="240" w:lineRule="auto"/>
              <w:rPr>
                <w:rFonts w:eastAsiaTheme="minorHAnsi"/>
                <w:sz w:val="20"/>
                <w:szCs w:val="20"/>
                <w:lang w:val="en-US"/>
              </w:rPr>
            </w:pPr>
            <w:r w:rsidRPr="00250E94">
              <w:rPr>
                <w:rFonts w:eastAsiaTheme="minorHAnsi"/>
                <w:sz w:val="20"/>
                <w:szCs w:val="20"/>
                <w:lang w:val="en-US"/>
              </w:rPr>
              <w:t>Shephelah (Southern Palestine)</w:t>
            </w:r>
          </w:p>
        </w:tc>
        <w:tc>
          <w:tcPr>
            <w:tcW w:w="1256" w:type="dxa"/>
            <w:tcBorders>
              <w:top w:val="single" w:sz="4" w:space="0" w:color="000000"/>
              <w:left w:val="single" w:sz="4" w:space="0" w:color="auto"/>
              <w:bottom w:val="single" w:sz="4" w:space="0" w:color="000000"/>
              <w:right w:val="single" w:sz="4" w:space="0" w:color="auto"/>
            </w:tcBorders>
          </w:tcPr>
          <w:p w14:paraId="0DBB133F" w14:textId="77777777" w:rsidR="00E73BD8" w:rsidRPr="00250E94" w:rsidRDefault="00E73BD8" w:rsidP="00B27F75">
            <w:pPr>
              <w:widowControl w:val="0"/>
              <w:spacing w:after="200" w:line="240" w:lineRule="auto"/>
              <w:jc w:val="center"/>
              <w:rPr>
                <w:rFonts w:eastAsiaTheme="minorHAnsi"/>
                <w:sz w:val="20"/>
                <w:szCs w:val="20"/>
                <w:lang w:val="en-US"/>
              </w:rPr>
            </w:pPr>
            <w:r w:rsidRPr="00250E94">
              <w:rPr>
                <w:rFonts w:eastAsiaTheme="minorHAnsi"/>
                <w:sz w:val="20"/>
                <w:szCs w:val="20"/>
                <w:lang w:val="en-US"/>
              </w:rPr>
              <w:t>+</w:t>
            </w:r>
          </w:p>
        </w:tc>
        <w:tc>
          <w:tcPr>
            <w:tcW w:w="3690" w:type="dxa"/>
            <w:tcBorders>
              <w:top w:val="single" w:sz="4" w:space="0" w:color="000000"/>
              <w:left w:val="single" w:sz="4" w:space="0" w:color="auto"/>
              <w:bottom w:val="single" w:sz="4" w:space="0" w:color="000000"/>
              <w:right w:val="single" w:sz="4" w:space="0" w:color="auto"/>
            </w:tcBorders>
          </w:tcPr>
          <w:p w14:paraId="5CDE0CDC" w14:textId="77777777" w:rsidR="00E73BD8" w:rsidRPr="00250E94" w:rsidRDefault="00E73BD8" w:rsidP="00B27F75">
            <w:pPr>
              <w:widowControl w:val="0"/>
              <w:spacing w:after="200" w:line="240" w:lineRule="auto"/>
              <w:rPr>
                <w:rFonts w:eastAsiaTheme="minorHAnsi"/>
                <w:sz w:val="20"/>
                <w:szCs w:val="20"/>
                <w:lang w:val="en-US"/>
              </w:rPr>
            </w:pPr>
            <w:r w:rsidRPr="00250E94">
              <w:rPr>
                <w:rFonts w:eastAsiaTheme="minorHAnsi"/>
                <w:sz w:val="20"/>
                <w:szCs w:val="20"/>
                <w:lang w:val="en-US"/>
              </w:rPr>
              <w:t>Northwestern Negev/Southern Shephelah</w:t>
            </w:r>
          </w:p>
        </w:tc>
        <w:tc>
          <w:tcPr>
            <w:tcW w:w="1530" w:type="dxa"/>
            <w:tcBorders>
              <w:top w:val="single" w:sz="4" w:space="0" w:color="000000"/>
              <w:left w:val="single" w:sz="4" w:space="0" w:color="auto"/>
              <w:bottom w:val="single" w:sz="4" w:space="0" w:color="000000"/>
              <w:right w:val="single" w:sz="4" w:space="0" w:color="auto"/>
            </w:tcBorders>
          </w:tcPr>
          <w:p w14:paraId="4DA03DDF" w14:textId="77777777" w:rsidR="00E73BD8" w:rsidRPr="00250E94" w:rsidRDefault="00E73BD8" w:rsidP="00B27F75">
            <w:pPr>
              <w:widowControl w:val="0"/>
              <w:spacing w:after="200" w:line="240" w:lineRule="auto"/>
              <w:jc w:val="center"/>
              <w:rPr>
                <w:rFonts w:eastAsiaTheme="minorHAnsi"/>
                <w:sz w:val="20"/>
                <w:szCs w:val="20"/>
                <w:lang w:val="en-US"/>
              </w:rPr>
            </w:pPr>
            <w:r w:rsidRPr="00250E94">
              <w:rPr>
                <w:rFonts w:eastAsiaTheme="minorHAnsi"/>
                <w:sz w:val="20"/>
                <w:szCs w:val="20"/>
                <w:lang w:val="en-US"/>
              </w:rPr>
              <w:t>+</w:t>
            </w:r>
          </w:p>
        </w:tc>
        <w:tc>
          <w:tcPr>
            <w:tcW w:w="1440" w:type="dxa"/>
            <w:tcBorders>
              <w:top w:val="single" w:sz="4" w:space="0" w:color="000000"/>
              <w:left w:val="single" w:sz="4" w:space="0" w:color="auto"/>
              <w:bottom w:val="single" w:sz="4" w:space="0" w:color="000000"/>
              <w:right w:val="single" w:sz="4" w:space="0" w:color="auto"/>
            </w:tcBorders>
          </w:tcPr>
          <w:p w14:paraId="177267B6" w14:textId="77777777" w:rsidR="00E73BD8" w:rsidRPr="00250E94" w:rsidRDefault="00E73BD8" w:rsidP="00B27F75">
            <w:pPr>
              <w:widowControl w:val="0"/>
              <w:spacing w:after="200" w:line="240" w:lineRule="auto"/>
              <w:jc w:val="center"/>
              <w:rPr>
                <w:rFonts w:eastAsiaTheme="minorHAnsi"/>
                <w:b/>
                <w:sz w:val="20"/>
                <w:szCs w:val="20"/>
                <w:lang w:val="en-US"/>
              </w:rPr>
            </w:pPr>
            <w:r w:rsidRPr="00250E94">
              <w:rPr>
                <w:rFonts w:eastAsiaTheme="minorHAnsi"/>
                <w:b/>
                <w:sz w:val="20"/>
                <w:szCs w:val="20"/>
                <w:lang w:val="en-US"/>
              </w:rPr>
              <w:t>+</w:t>
            </w:r>
          </w:p>
        </w:tc>
      </w:tr>
      <w:tr w:rsidR="00E73BD8" w:rsidRPr="00250E94" w14:paraId="29F45308" w14:textId="77777777" w:rsidTr="00B27F75">
        <w:trPr>
          <w:trHeight w:hRule="exact" w:val="451"/>
        </w:trPr>
        <w:tc>
          <w:tcPr>
            <w:tcW w:w="1633" w:type="dxa"/>
            <w:tcBorders>
              <w:top w:val="single" w:sz="4" w:space="0" w:color="000000"/>
              <w:left w:val="single" w:sz="4" w:space="0" w:color="auto"/>
              <w:bottom w:val="single" w:sz="4" w:space="0" w:color="000000"/>
              <w:right w:val="single" w:sz="4" w:space="0" w:color="auto"/>
            </w:tcBorders>
          </w:tcPr>
          <w:p w14:paraId="1EDED402" w14:textId="77777777" w:rsidR="00E73BD8" w:rsidRPr="00250E94" w:rsidRDefault="00E73BD8" w:rsidP="00B27F75">
            <w:pPr>
              <w:widowControl w:val="0"/>
              <w:spacing w:after="200" w:line="240" w:lineRule="auto"/>
              <w:rPr>
                <w:rFonts w:eastAsiaTheme="minorHAnsi"/>
                <w:sz w:val="20"/>
                <w:szCs w:val="20"/>
                <w:lang w:val="en-US"/>
              </w:rPr>
            </w:pPr>
            <w:r w:rsidRPr="00250E94">
              <w:rPr>
                <w:rFonts w:eastAsiaTheme="minorHAnsi"/>
                <w:sz w:val="20"/>
                <w:szCs w:val="20"/>
                <w:lang w:val="en-US"/>
              </w:rPr>
              <w:t>4537, JH091</w:t>
            </w:r>
          </w:p>
        </w:tc>
        <w:tc>
          <w:tcPr>
            <w:tcW w:w="2408" w:type="dxa"/>
            <w:tcBorders>
              <w:top w:val="single" w:sz="4" w:space="0" w:color="000000"/>
              <w:left w:val="single" w:sz="4" w:space="0" w:color="auto"/>
              <w:bottom w:val="single" w:sz="4" w:space="0" w:color="000000"/>
              <w:right w:val="single" w:sz="4" w:space="0" w:color="auto"/>
            </w:tcBorders>
          </w:tcPr>
          <w:p w14:paraId="6578003B" w14:textId="77777777" w:rsidR="00E73BD8" w:rsidRPr="00250E94" w:rsidRDefault="00E73BD8" w:rsidP="00B27F75">
            <w:pPr>
              <w:widowControl w:val="0"/>
              <w:spacing w:after="200" w:line="240" w:lineRule="auto"/>
              <w:rPr>
                <w:rFonts w:eastAsiaTheme="minorHAnsi"/>
                <w:sz w:val="20"/>
                <w:szCs w:val="20"/>
                <w:lang w:val="en-US"/>
              </w:rPr>
            </w:pPr>
            <w:r w:rsidRPr="00250E94">
              <w:rPr>
                <w:rFonts w:eastAsiaTheme="minorHAnsi"/>
                <w:sz w:val="20"/>
                <w:szCs w:val="20"/>
                <w:lang w:val="en-US"/>
              </w:rPr>
              <w:t>Southern Palestine</w:t>
            </w:r>
          </w:p>
        </w:tc>
        <w:tc>
          <w:tcPr>
            <w:tcW w:w="2524" w:type="dxa"/>
            <w:tcBorders>
              <w:top w:val="single" w:sz="4" w:space="0" w:color="000000"/>
              <w:left w:val="single" w:sz="4" w:space="0" w:color="auto"/>
              <w:bottom w:val="single" w:sz="4" w:space="0" w:color="000000"/>
              <w:right w:val="single" w:sz="4" w:space="0" w:color="auto"/>
            </w:tcBorders>
          </w:tcPr>
          <w:p w14:paraId="47ADB76B" w14:textId="77777777" w:rsidR="00E73BD8" w:rsidRPr="00250E94" w:rsidRDefault="00E73BD8" w:rsidP="00B27F75">
            <w:pPr>
              <w:widowControl w:val="0"/>
              <w:spacing w:after="200" w:line="240" w:lineRule="auto"/>
              <w:rPr>
                <w:rFonts w:eastAsiaTheme="minorHAnsi"/>
                <w:sz w:val="20"/>
                <w:szCs w:val="20"/>
                <w:lang w:val="en-US"/>
              </w:rPr>
            </w:pPr>
            <w:bookmarkStart w:id="70" w:name="_Hlk8631032"/>
            <w:r w:rsidRPr="00250E94">
              <w:rPr>
                <w:rFonts w:eastAsiaTheme="minorHAnsi"/>
                <w:sz w:val="20"/>
                <w:szCs w:val="20"/>
                <w:lang w:val="en-US"/>
              </w:rPr>
              <w:t>Central and Southern Hill Country</w:t>
            </w:r>
            <w:bookmarkEnd w:id="70"/>
          </w:p>
        </w:tc>
        <w:tc>
          <w:tcPr>
            <w:tcW w:w="1256" w:type="dxa"/>
            <w:tcBorders>
              <w:top w:val="single" w:sz="4" w:space="0" w:color="000000"/>
              <w:left w:val="single" w:sz="4" w:space="0" w:color="auto"/>
              <w:bottom w:val="single" w:sz="4" w:space="0" w:color="000000"/>
              <w:right w:val="single" w:sz="4" w:space="0" w:color="auto"/>
            </w:tcBorders>
          </w:tcPr>
          <w:p w14:paraId="6E62517F" w14:textId="77777777" w:rsidR="00E73BD8" w:rsidRPr="00250E94" w:rsidRDefault="00E73BD8" w:rsidP="00B27F75">
            <w:pPr>
              <w:widowControl w:val="0"/>
              <w:spacing w:after="200" w:line="240" w:lineRule="auto"/>
              <w:jc w:val="center"/>
              <w:rPr>
                <w:rFonts w:eastAsiaTheme="minorHAnsi"/>
                <w:sz w:val="20"/>
                <w:szCs w:val="20"/>
                <w:lang w:val="en-US"/>
              </w:rPr>
            </w:pPr>
            <w:r w:rsidRPr="00250E94">
              <w:rPr>
                <w:rFonts w:eastAsiaTheme="minorHAnsi"/>
                <w:sz w:val="20"/>
                <w:szCs w:val="20"/>
                <w:lang w:val="en-US"/>
              </w:rPr>
              <w:t>-</w:t>
            </w:r>
          </w:p>
        </w:tc>
        <w:tc>
          <w:tcPr>
            <w:tcW w:w="3690" w:type="dxa"/>
            <w:tcBorders>
              <w:top w:val="single" w:sz="4" w:space="0" w:color="000000"/>
              <w:left w:val="single" w:sz="4" w:space="0" w:color="auto"/>
              <w:bottom w:val="single" w:sz="4" w:space="0" w:color="000000"/>
              <w:right w:val="single" w:sz="4" w:space="0" w:color="auto"/>
            </w:tcBorders>
          </w:tcPr>
          <w:p w14:paraId="4CDD55DE" w14:textId="77777777" w:rsidR="00E73BD8" w:rsidRPr="00250E94" w:rsidRDefault="00E73BD8" w:rsidP="00B27F75">
            <w:pPr>
              <w:widowControl w:val="0"/>
              <w:spacing w:after="200" w:line="240" w:lineRule="auto"/>
              <w:rPr>
                <w:rFonts w:eastAsiaTheme="minorHAnsi"/>
                <w:sz w:val="20"/>
                <w:szCs w:val="20"/>
                <w:lang w:val="en-US"/>
              </w:rPr>
            </w:pPr>
            <w:bookmarkStart w:id="71" w:name="_Hlk8631072"/>
            <w:r w:rsidRPr="00250E94">
              <w:rPr>
                <w:rFonts w:eastAsiaTheme="minorHAnsi"/>
                <w:sz w:val="20"/>
                <w:szCs w:val="20"/>
                <w:lang w:val="en-US"/>
              </w:rPr>
              <w:t>Lebanon east of the coast line Beirut-Byblos</w:t>
            </w:r>
            <w:bookmarkEnd w:id="71"/>
          </w:p>
        </w:tc>
        <w:tc>
          <w:tcPr>
            <w:tcW w:w="1530" w:type="dxa"/>
            <w:tcBorders>
              <w:top w:val="single" w:sz="4" w:space="0" w:color="000000"/>
              <w:left w:val="single" w:sz="4" w:space="0" w:color="auto"/>
              <w:bottom w:val="single" w:sz="4" w:space="0" w:color="000000"/>
              <w:right w:val="single" w:sz="4" w:space="0" w:color="auto"/>
            </w:tcBorders>
          </w:tcPr>
          <w:p w14:paraId="623412AB" w14:textId="77777777" w:rsidR="00E73BD8" w:rsidRPr="00250E94" w:rsidRDefault="00E73BD8" w:rsidP="00B27F75">
            <w:pPr>
              <w:widowControl w:val="0"/>
              <w:spacing w:after="200" w:line="240" w:lineRule="auto"/>
              <w:jc w:val="center"/>
              <w:rPr>
                <w:rFonts w:eastAsiaTheme="minorHAnsi"/>
                <w:sz w:val="20"/>
                <w:szCs w:val="20"/>
                <w:lang w:val="en-US"/>
              </w:rPr>
            </w:pPr>
            <w:r w:rsidRPr="00250E94">
              <w:rPr>
                <w:rFonts w:eastAsiaTheme="minorHAnsi"/>
                <w:sz w:val="20"/>
                <w:szCs w:val="20"/>
                <w:lang w:val="en-US"/>
              </w:rPr>
              <w:t>-</w:t>
            </w:r>
          </w:p>
        </w:tc>
        <w:tc>
          <w:tcPr>
            <w:tcW w:w="1440" w:type="dxa"/>
            <w:tcBorders>
              <w:top w:val="single" w:sz="4" w:space="0" w:color="000000"/>
              <w:left w:val="single" w:sz="4" w:space="0" w:color="auto"/>
              <w:bottom w:val="single" w:sz="4" w:space="0" w:color="000000"/>
              <w:right w:val="single" w:sz="4" w:space="0" w:color="auto"/>
            </w:tcBorders>
          </w:tcPr>
          <w:p w14:paraId="02BD0EFB" w14:textId="77777777" w:rsidR="00E73BD8" w:rsidRPr="00250E94" w:rsidRDefault="00E73BD8" w:rsidP="00B27F75">
            <w:pPr>
              <w:widowControl w:val="0"/>
              <w:spacing w:after="200" w:line="240" w:lineRule="auto"/>
              <w:jc w:val="center"/>
              <w:rPr>
                <w:rFonts w:eastAsiaTheme="minorHAnsi"/>
                <w:b/>
                <w:sz w:val="20"/>
                <w:szCs w:val="20"/>
                <w:lang w:val="en-US"/>
              </w:rPr>
            </w:pPr>
            <w:r w:rsidRPr="00250E94">
              <w:rPr>
                <w:rFonts w:eastAsiaTheme="minorHAnsi"/>
                <w:b/>
                <w:sz w:val="20"/>
                <w:szCs w:val="20"/>
                <w:lang w:val="en-US"/>
              </w:rPr>
              <w:t>-</w:t>
            </w:r>
          </w:p>
        </w:tc>
      </w:tr>
      <w:tr w:rsidR="00E73BD8" w:rsidRPr="00250E94" w14:paraId="59EE2D18" w14:textId="77777777" w:rsidTr="00B27F75">
        <w:trPr>
          <w:trHeight w:hRule="exact" w:val="469"/>
        </w:trPr>
        <w:tc>
          <w:tcPr>
            <w:tcW w:w="1633" w:type="dxa"/>
            <w:tcBorders>
              <w:top w:val="single" w:sz="4" w:space="0" w:color="000000"/>
              <w:left w:val="single" w:sz="4" w:space="0" w:color="auto"/>
              <w:bottom w:val="single" w:sz="4" w:space="0" w:color="000000"/>
              <w:right w:val="single" w:sz="4" w:space="0" w:color="auto"/>
            </w:tcBorders>
          </w:tcPr>
          <w:p w14:paraId="1D2214F4" w14:textId="77777777" w:rsidR="00E73BD8" w:rsidRPr="00250E94" w:rsidRDefault="00E73BD8" w:rsidP="00B27F75">
            <w:pPr>
              <w:widowControl w:val="0"/>
              <w:spacing w:after="200" w:line="240" w:lineRule="auto"/>
              <w:rPr>
                <w:rFonts w:eastAsiaTheme="minorHAnsi"/>
                <w:sz w:val="20"/>
                <w:szCs w:val="20"/>
                <w:lang w:val="en-US"/>
              </w:rPr>
            </w:pPr>
            <w:bookmarkStart w:id="72" w:name="_Hlk8543054"/>
            <w:r w:rsidRPr="00250E94">
              <w:rPr>
                <w:rFonts w:eastAsiaTheme="minorHAnsi"/>
                <w:sz w:val="20"/>
                <w:szCs w:val="20"/>
                <w:lang w:val="en-US"/>
              </w:rPr>
              <w:t>4537A, JH013</w:t>
            </w:r>
          </w:p>
        </w:tc>
        <w:tc>
          <w:tcPr>
            <w:tcW w:w="2408" w:type="dxa"/>
            <w:tcBorders>
              <w:top w:val="single" w:sz="4" w:space="0" w:color="000000"/>
              <w:left w:val="single" w:sz="4" w:space="0" w:color="auto"/>
              <w:bottom w:val="single" w:sz="4" w:space="0" w:color="000000"/>
              <w:right w:val="single" w:sz="4" w:space="0" w:color="auto"/>
            </w:tcBorders>
          </w:tcPr>
          <w:p w14:paraId="3F8AA437" w14:textId="77777777" w:rsidR="00E73BD8" w:rsidRPr="00250E94" w:rsidRDefault="00E73BD8" w:rsidP="00B27F75">
            <w:pPr>
              <w:widowControl w:val="0"/>
              <w:spacing w:after="200" w:line="240" w:lineRule="auto"/>
              <w:rPr>
                <w:rFonts w:eastAsiaTheme="minorHAnsi"/>
                <w:sz w:val="20"/>
                <w:szCs w:val="20"/>
                <w:lang w:val="en-US"/>
              </w:rPr>
            </w:pPr>
            <w:r w:rsidRPr="00250E94">
              <w:rPr>
                <w:rFonts w:eastAsiaTheme="minorHAnsi"/>
                <w:sz w:val="20"/>
                <w:szCs w:val="20"/>
                <w:lang w:val="en-US"/>
              </w:rPr>
              <w:t>? (possibly Southern Palestine)</w:t>
            </w:r>
          </w:p>
        </w:tc>
        <w:tc>
          <w:tcPr>
            <w:tcW w:w="2524" w:type="dxa"/>
            <w:tcBorders>
              <w:top w:val="single" w:sz="4" w:space="0" w:color="000000"/>
              <w:left w:val="single" w:sz="4" w:space="0" w:color="auto"/>
              <w:bottom w:val="single" w:sz="4" w:space="0" w:color="000000"/>
              <w:right w:val="single" w:sz="4" w:space="0" w:color="auto"/>
            </w:tcBorders>
          </w:tcPr>
          <w:p w14:paraId="44CAA813" w14:textId="77777777" w:rsidR="00E73BD8" w:rsidRPr="00250E94" w:rsidRDefault="00E73BD8" w:rsidP="00B27F75">
            <w:pPr>
              <w:widowControl w:val="0"/>
              <w:spacing w:after="200" w:line="240" w:lineRule="auto"/>
              <w:rPr>
                <w:rFonts w:eastAsiaTheme="minorHAnsi"/>
                <w:sz w:val="20"/>
                <w:szCs w:val="20"/>
                <w:lang w:val="en-US"/>
              </w:rPr>
            </w:pPr>
            <w:r w:rsidRPr="00250E94">
              <w:rPr>
                <w:rFonts w:eastAsiaTheme="minorHAnsi"/>
                <w:sz w:val="20"/>
                <w:szCs w:val="20"/>
                <w:lang w:val="en-US"/>
              </w:rPr>
              <w:t>Central and Southern Hill Country</w:t>
            </w:r>
          </w:p>
        </w:tc>
        <w:tc>
          <w:tcPr>
            <w:tcW w:w="1256" w:type="dxa"/>
            <w:tcBorders>
              <w:top w:val="single" w:sz="4" w:space="0" w:color="000000"/>
              <w:left w:val="single" w:sz="4" w:space="0" w:color="auto"/>
              <w:bottom w:val="single" w:sz="4" w:space="0" w:color="000000"/>
              <w:right w:val="single" w:sz="4" w:space="0" w:color="auto"/>
            </w:tcBorders>
          </w:tcPr>
          <w:p w14:paraId="2D9EAF6E" w14:textId="77777777" w:rsidR="00E73BD8" w:rsidRPr="00250E94" w:rsidRDefault="00E73BD8" w:rsidP="00B27F75">
            <w:pPr>
              <w:widowControl w:val="0"/>
              <w:spacing w:after="200" w:line="240" w:lineRule="auto"/>
              <w:jc w:val="center"/>
              <w:rPr>
                <w:rFonts w:eastAsiaTheme="minorHAnsi"/>
                <w:sz w:val="20"/>
                <w:szCs w:val="20"/>
                <w:lang w:val="en-US"/>
              </w:rPr>
            </w:pPr>
            <w:r w:rsidRPr="00250E94">
              <w:rPr>
                <w:rFonts w:eastAsiaTheme="minorHAnsi"/>
                <w:sz w:val="20"/>
                <w:szCs w:val="20"/>
                <w:lang w:val="en-US"/>
              </w:rPr>
              <w:t>-</w:t>
            </w:r>
          </w:p>
        </w:tc>
        <w:tc>
          <w:tcPr>
            <w:tcW w:w="3690" w:type="dxa"/>
            <w:tcBorders>
              <w:top w:val="single" w:sz="4" w:space="0" w:color="000000"/>
              <w:left w:val="single" w:sz="4" w:space="0" w:color="auto"/>
              <w:bottom w:val="single" w:sz="4" w:space="0" w:color="000000"/>
              <w:right w:val="single" w:sz="4" w:space="0" w:color="auto"/>
            </w:tcBorders>
          </w:tcPr>
          <w:p w14:paraId="3BBCD039" w14:textId="77777777" w:rsidR="00E73BD8" w:rsidRPr="00250E94" w:rsidRDefault="00E73BD8" w:rsidP="00B27F75">
            <w:pPr>
              <w:widowControl w:val="0"/>
              <w:spacing w:after="200" w:line="240" w:lineRule="auto"/>
              <w:rPr>
                <w:rFonts w:eastAsiaTheme="minorHAnsi"/>
                <w:sz w:val="20"/>
                <w:szCs w:val="20"/>
                <w:lang w:val="en-US"/>
              </w:rPr>
            </w:pPr>
            <w:r w:rsidRPr="00250E94">
              <w:rPr>
                <w:rFonts w:eastAsiaTheme="minorHAnsi"/>
                <w:sz w:val="20"/>
                <w:szCs w:val="20"/>
                <w:lang w:val="en-US"/>
              </w:rPr>
              <w:t>Undetermined northern Levant</w:t>
            </w:r>
          </w:p>
        </w:tc>
        <w:tc>
          <w:tcPr>
            <w:tcW w:w="1530" w:type="dxa"/>
            <w:tcBorders>
              <w:top w:val="single" w:sz="4" w:space="0" w:color="000000"/>
              <w:left w:val="single" w:sz="4" w:space="0" w:color="auto"/>
              <w:bottom w:val="single" w:sz="4" w:space="0" w:color="000000"/>
              <w:right w:val="single" w:sz="4" w:space="0" w:color="auto"/>
            </w:tcBorders>
          </w:tcPr>
          <w:p w14:paraId="558CFC90" w14:textId="77777777" w:rsidR="00E73BD8" w:rsidRPr="00250E94" w:rsidRDefault="00E73BD8" w:rsidP="00B27F75">
            <w:pPr>
              <w:widowControl w:val="0"/>
              <w:spacing w:after="200" w:line="240" w:lineRule="auto"/>
              <w:jc w:val="center"/>
              <w:rPr>
                <w:rFonts w:eastAsiaTheme="minorHAnsi"/>
                <w:sz w:val="20"/>
                <w:szCs w:val="20"/>
                <w:lang w:val="en-US"/>
              </w:rPr>
            </w:pPr>
            <w:r w:rsidRPr="00250E94">
              <w:rPr>
                <w:rFonts w:eastAsiaTheme="minorHAnsi"/>
                <w:sz w:val="20"/>
                <w:szCs w:val="20"/>
                <w:lang w:val="en-US"/>
              </w:rPr>
              <w:t>-</w:t>
            </w:r>
          </w:p>
        </w:tc>
        <w:tc>
          <w:tcPr>
            <w:tcW w:w="1440" w:type="dxa"/>
            <w:tcBorders>
              <w:top w:val="single" w:sz="4" w:space="0" w:color="000000"/>
              <w:left w:val="single" w:sz="4" w:space="0" w:color="auto"/>
              <w:bottom w:val="single" w:sz="4" w:space="0" w:color="000000"/>
              <w:right w:val="single" w:sz="4" w:space="0" w:color="auto"/>
            </w:tcBorders>
          </w:tcPr>
          <w:p w14:paraId="1CC202B2" w14:textId="77777777" w:rsidR="00E73BD8" w:rsidRPr="00250E94" w:rsidRDefault="00E73BD8" w:rsidP="00B27F75">
            <w:pPr>
              <w:widowControl w:val="0"/>
              <w:spacing w:after="200" w:line="240" w:lineRule="auto"/>
              <w:jc w:val="center"/>
              <w:rPr>
                <w:rFonts w:eastAsiaTheme="minorHAnsi"/>
                <w:b/>
                <w:sz w:val="20"/>
                <w:szCs w:val="20"/>
                <w:lang w:val="en-US"/>
              </w:rPr>
            </w:pPr>
            <w:r w:rsidRPr="00250E94">
              <w:rPr>
                <w:rFonts w:eastAsiaTheme="minorHAnsi"/>
                <w:b/>
                <w:sz w:val="20"/>
                <w:szCs w:val="20"/>
                <w:lang w:val="en-US"/>
              </w:rPr>
              <w:t>-</w:t>
            </w:r>
          </w:p>
        </w:tc>
      </w:tr>
      <w:bookmarkEnd w:id="72"/>
      <w:tr w:rsidR="00E73BD8" w:rsidRPr="00250E94" w14:paraId="6FCE6727" w14:textId="77777777" w:rsidTr="00B27F75">
        <w:trPr>
          <w:trHeight w:hRule="exact" w:val="334"/>
        </w:trPr>
        <w:tc>
          <w:tcPr>
            <w:tcW w:w="1633" w:type="dxa"/>
            <w:tcBorders>
              <w:top w:val="single" w:sz="4" w:space="0" w:color="000000"/>
              <w:left w:val="single" w:sz="4" w:space="0" w:color="auto"/>
              <w:bottom w:val="single" w:sz="4" w:space="0" w:color="000000"/>
              <w:right w:val="single" w:sz="4" w:space="0" w:color="auto"/>
            </w:tcBorders>
          </w:tcPr>
          <w:p w14:paraId="2144E808" w14:textId="77777777" w:rsidR="00E73BD8" w:rsidRPr="00250E94" w:rsidRDefault="00E73BD8" w:rsidP="00B27F75">
            <w:pPr>
              <w:widowControl w:val="0"/>
              <w:spacing w:after="200" w:line="240" w:lineRule="auto"/>
              <w:rPr>
                <w:rFonts w:eastAsiaTheme="minorHAnsi"/>
                <w:sz w:val="20"/>
                <w:szCs w:val="20"/>
                <w:lang w:val="en-US"/>
              </w:rPr>
            </w:pPr>
            <w:r w:rsidRPr="00250E94">
              <w:rPr>
                <w:rFonts w:eastAsiaTheme="minorHAnsi"/>
                <w:sz w:val="20"/>
                <w:szCs w:val="20"/>
                <w:lang w:val="en-US"/>
              </w:rPr>
              <w:t>4539, JH152</w:t>
            </w:r>
          </w:p>
        </w:tc>
        <w:tc>
          <w:tcPr>
            <w:tcW w:w="2408" w:type="dxa"/>
            <w:tcBorders>
              <w:top w:val="single" w:sz="4" w:space="0" w:color="000000"/>
              <w:left w:val="single" w:sz="4" w:space="0" w:color="auto"/>
              <w:bottom w:val="single" w:sz="4" w:space="0" w:color="000000"/>
              <w:right w:val="single" w:sz="4" w:space="0" w:color="auto"/>
            </w:tcBorders>
          </w:tcPr>
          <w:p w14:paraId="6B864D7A" w14:textId="77777777" w:rsidR="00E73BD8" w:rsidRPr="00250E94" w:rsidRDefault="00E73BD8" w:rsidP="00B27F75">
            <w:pPr>
              <w:widowControl w:val="0"/>
              <w:spacing w:after="200" w:line="240" w:lineRule="auto"/>
              <w:rPr>
                <w:rFonts w:eastAsiaTheme="minorHAnsi"/>
                <w:sz w:val="20"/>
                <w:szCs w:val="20"/>
                <w:lang w:val="en-US"/>
              </w:rPr>
            </w:pPr>
            <w:r w:rsidRPr="00250E94">
              <w:rPr>
                <w:rFonts w:eastAsiaTheme="minorHAnsi"/>
                <w:sz w:val="20"/>
                <w:szCs w:val="20"/>
                <w:lang w:val="en-US"/>
              </w:rPr>
              <w:t>Nile alluvium</w:t>
            </w:r>
          </w:p>
        </w:tc>
        <w:tc>
          <w:tcPr>
            <w:tcW w:w="2524" w:type="dxa"/>
            <w:tcBorders>
              <w:top w:val="single" w:sz="4" w:space="0" w:color="000000"/>
              <w:left w:val="single" w:sz="4" w:space="0" w:color="auto"/>
              <w:bottom w:val="single" w:sz="4" w:space="0" w:color="000000"/>
              <w:right w:val="single" w:sz="4" w:space="0" w:color="auto"/>
            </w:tcBorders>
          </w:tcPr>
          <w:p w14:paraId="1A57219B" w14:textId="77777777" w:rsidR="00E73BD8" w:rsidRPr="00250E94" w:rsidRDefault="00E73BD8" w:rsidP="00B27F75">
            <w:pPr>
              <w:widowControl w:val="0"/>
              <w:spacing w:after="200" w:line="240" w:lineRule="auto"/>
              <w:rPr>
                <w:rFonts w:eastAsiaTheme="minorHAnsi"/>
                <w:sz w:val="20"/>
                <w:szCs w:val="20"/>
                <w:lang w:val="en-US"/>
              </w:rPr>
            </w:pPr>
            <w:r w:rsidRPr="00250E94">
              <w:rPr>
                <w:rFonts w:eastAsiaTheme="minorHAnsi"/>
                <w:sz w:val="20"/>
                <w:szCs w:val="20"/>
                <w:lang w:val="en-US"/>
              </w:rPr>
              <w:t>Egypt</w:t>
            </w:r>
          </w:p>
        </w:tc>
        <w:tc>
          <w:tcPr>
            <w:tcW w:w="1256" w:type="dxa"/>
            <w:tcBorders>
              <w:top w:val="single" w:sz="4" w:space="0" w:color="000000"/>
              <w:left w:val="single" w:sz="4" w:space="0" w:color="auto"/>
              <w:bottom w:val="single" w:sz="4" w:space="0" w:color="000000"/>
              <w:right w:val="single" w:sz="4" w:space="0" w:color="auto"/>
            </w:tcBorders>
          </w:tcPr>
          <w:p w14:paraId="1BB0FA86" w14:textId="77777777" w:rsidR="00E73BD8" w:rsidRPr="00250E94" w:rsidRDefault="00E73BD8" w:rsidP="00B27F75">
            <w:pPr>
              <w:widowControl w:val="0"/>
              <w:spacing w:after="200" w:line="240" w:lineRule="auto"/>
              <w:jc w:val="center"/>
              <w:rPr>
                <w:rFonts w:eastAsiaTheme="minorHAnsi"/>
                <w:sz w:val="20"/>
                <w:szCs w:val="20"/>
                <w:lang w:val="en-US"/>
              </w:rPr>
            </w:pPr>
            <w:r w:rsidRPr="00250E94">
              <w:rPr>
                <w:rFonts w:eastAsiaTheme="minorHAnsi"/>
                <w:sz w:val="20"/>
                <w:szCs w:val="20"/>
                <w:lang w:val="en-US"/>
              </w:rPr>
              <w:t>+</w:t>
            </w:r>
          </w:p>
        </w:tc>
        <w:tc>
          <w:tcPr>
            <w:tcW w:w="3690" w:type="dxa"/>
            <w:tcBorders>
              <w:top w:val="single" w:sz="4" w:space="0" w:color="000000"/>
              <w:left w:val="single" w:sz="4" w:space="0" w:color="auto"/>
              <w:bottom w:val="single" w:sz="4" w:space="0" w:color="000000"/>
              <w:right w:val="single" w:sz="4" w:space="0" w:color="auto"/>
            </w:tcBorders>
          </w:tcPr>
          <w:p w14:paraId="6F879788" w14:textId="77777777" w:rsidR="00E73BD8" w:rsidRPr="00250E94" w:rsidRDefault="00E73BD8" w:rsidP="00B27F75">
            <w:pPr>
              <w:widowControl w:val="0"/>
              <w:spacing w:after="200" w:line="240" w:lineRule="auto"/>
              <w:rPr>
                <w:rFonts w:eastAsiaTheme="minorHAnsi"/>
                <w:sz w:val="20"/>
                <w:szCs w:val="20"/>
                <w:lang w:val="en-US"/>
              </w:rPr>
            </w:pPr>
            <w:r w:rsidRPr="00250E94">
              <w:rPr>
                <w:rFonts w:eastAsiaTheme="minorHAnsi"/>
                <w:sz w:val="20"/>
                <w:szCs w:val="20"/>
                <w:lang w:val="en-US"/>
              </w:rPr>
              <w:t>Northwestern Negev</w:t>
            </w:r>
          </w:p>
        </w:tc>
        <w:tc>
          <w:tcPr>
            <w:tcW w:w="1530" w:type="dxa"/>
            <w:tcBorders>
              <w:top w:val="single" w:sz="4" w:space="0" w:color="000000"/>
              <w:left w:val="single" w:sz="4" w:space="0" w:color="auto"/>
              <w:bottom w:val="single" w:sz="4" w:space="0" w:color="000000"/>
              <w:right w:val="single" w:sz="4" w:space="0" w:color="auto"/>
            </w:tcBorders>
          </w:tcPr>
          <w:p w14:paraId="3FCD26BB" w14:textId="77777777" w:rsidR="00E73BD8" w:rsidRPr="00250E94" w:rsidRDefault="00E73BD8" w:rsidP="00B27F75">
            <w:pPr>
              <w:widowControl w:val="0"/>
              <w:spacing w:after="200" w:line="240" w:lineRule="auto"/>
              <w:jc w:val="center"/>
              <w:rPr>
                <w:rFonts w:eastAsiaTheme="minorHAnsi"/>
                <w:sz w:val="20"/>
                <w:szCs w:val="20"/>
                <w:lang w:val="en-US"/>
              </w:rPr>
            </w:pPr>
            <w:r w:rsidRPr="00250E94">
              <w:rPr>
                <w:rFonts w:eastAsiaTheme="minorHAnsi"/>
                <w:sz w:val="20"/>
                <w:szCs w:val="20"/>
                <w:lang w:val="en-US"/>
              </w:rPr>
              <w:t>-</w:t>
            </w:r>
          </w:p>
        </w:tc>
        <w:tc>
          <w:tcPr>
            <w:tcW w:w="1440" w:type="dxa"/>
            <w:tcBorders>
              <w:top w:val="single" w:sz="4" w:space="0" w:color="000000"/>
              <w:left w:val="single" w:sz="4" w:space="0" w:color="auto"/>
              <w:bottom w:val="single" w:sz="4" w:space="0" w:color="000000"/>
              <w:right w:val="single" w:sz="4" w:space="0" w:color="auto"/>
            </w:tcBorders>
          </w:tcPr>
          <w:p w14:paraId="3C53A42F" w14:textId="77777777" w:rsidR="00E73BD8" w:rsidRPr="00250E94" w:rsidRDefault="00E73BD8" w:rsidP="00B27F75">
            <w:pPr>
              <w:widowControl w:val="0"/>
              <w:spacing w:after="200" w:line="240" w:lineRule="auto"/>
              <w:jc w:val="center"/>
              <w:rPr>
                <w:rFonts w:eastAsiaTheme="minorHAnsi"/>
                <w:b/>
                <w:sz w:val="20"/>
                <w:szCs w:val="20"/>
                <w:lang w:val="en-US"/>
              </w:rPr>
            </w:pPr>
            <w:r w:rsidRPr="00250E94">
              <w:rPr>
                <w:rFonts w:eastAsiaTheme="minorHAnsi"/>
                <w:b/>
                <w:sz w:val="20"/>
                <w:szCs w:val="20"/>
                <w:lang w:val="en-US"/>
              </w:rPr>
              <w:t>-</w:t>
            </w:r>
          </w:p>
        </w:tc>
      </w:tr>
      <w:tr w:rsidR="00E73BD8" w:rsidRPr="00250E94" w14:paraId="71DBAF42" w14:textId="77777777" w:rsidTr="00B27F75">
        <w:trPr>
          <w:trHeight w:hRule="exact" w:val="327"/>
        </w:trPr>
        <w:tc>
          <w:tcPr>
            <w:tcW w:w="1633" w:type="dxa"/>
            <w:tcBorders>
              <w:top w:val="single" w:sz="4" w:space="0" w:color="000000"/>
              <w:left w:val="single" w:sz="4" w:space="0" w:color="auto"/>
              <w:bottom w:val="single" w:sz="4" w:space="0" w:color="000000"/>
              <w:right w:val="single" w:sz="4" w:space="0" w:color="auto"/>
            </w:tcBorders>
          </w:tcPr>
          <w:p w14:paraId="5C583954" w14:textId="77777777" w:rsidR="00E73BD8" w:rsidRPr="00250E94" w:rsidRDefault="00E73BD8" w:rsidP="00B27F75">
            <w:pPr>
              <w:widowControl w:val="0"/>
              <w:spacing w:after="200" w:line="240" w:lineRule="auto"/>
              <w:rPr>
                <w:rFonts w:eastAsiaTheme="minorHAnsi"/>
                <w:sz w:val="20"/>
                <w:szCs w:val="20"/>
                <w:lang w:val="en-US"/>
              </w:rPr>
            </w:pPr>
            <w:bookmarkStart w:id="73" w:name="_Hlk8542125"/>
            <w:r w:rsidRPr="00250E94">
              <w:rPr>
                <w:rFonts w:eastAsiaTheme="minorHAnsi"/>
                <w:sz w:val="20"/>
                <w:szCs w:val="20"/>
                <w:lang w:val="en-US"/>
              </w:rPr>
              <w:t>4548C</w:t>
            </w:r>
            <w:bookmarkEnd w:id="73"/>
            <w:r w:rsidRPr="00250E94">
              <w:rPr>
                <w:rFonts w:eastAsiaTheme="minorHAnsi"/>
                <w:sz w:val="20"/>
                <w:szCs w:val="20"/>
                <w:lang w:val="en-US"/>
              </w:rPr>
              <w:t>, JH040</w:t>
            </w:r>
          </w:p>
          <w:p w14:paraId="3F9C3697" w14:textId="77777777" w:rsidR="00E73BD8" w:rsidRPr="00250E94" w:rsidRDefault="00E73BD8" w:rsidP="00B27F75">
            <w:pPr>
              <w:widowControl w:val="0"/>
              <w:spacing w:after="200" w:line="240" w:lineRule="auto"/>
              <w:rPr>
                <w:rFonts w:eastAsiaTheme="minorHAnsi"/>
                <w:sz w:val="20"/>
                <w:szCs w:val="20"/>
                <w:lang w:val="en-US"/>
              </w:rPr>
            </w:pPr>
            <w:r w:rsidRPr="00250E94">
              <w:rPr>
                <w:rFonts w:eastAsiaTheme="minorHAnsi"/>
                <w:sz w:val="20"/>
                <w:szCs w:val="20"/>
                <w:lang w:val="en-US"/>
              </w:rPr>
              <w:t>4548C, JH040</w:t>
            </w:r>
          </w:p>
        </w:tc>
        <w:tc>
          <w:tcPr>
            <w:tcW w:w="2408" w:type="dxa"/>
            <w:tcBorders>
              <w:top w:val="single" w:sz="4" w:space="0" w:color="000000"/>
              <w:left w:val="single" w:sz="4" w:space="0" w:color="auto"/>
              <w:bottom w:val="single" w:sz="4" w:space="0" w:color="000000"/>
              <w:right w:val="single" w:sz="4" w:space="0" w:color="auto"/>
            </w:tcBorders>
          </w:tcPr>
          <w:p w14:paraId="66E707FC" w14:textId="77777777" w:rsidR="00E73BD8" w:rsidRPr="00250E94" w:rsidRDefault="00E73BD8" w:rsidP="00B27F75">
            <w:pPr>
              <w:widowControl w:val="0"/>
              <w:spacing w:after="200" w:line="240" w:lineRule="auto"/>
              <w:rPr>
                <w:rFonts w:eastAsiaTheme="minorHAnsi"/>
                <w:sz w:val="20"/>
                <w:szCs w:val="20"/>
                <w:lang w:val="en-US"/>
              </w:rPr>
            </w:pPr>
            <w:r w:rsidRPr="00250E94">
              <w:rPr>
                <w:rFonts w:eastAsiaTheme="minorHAnsi"/>
                <w:sz w:val="20"/>
                <w:szCs w:val="20"/>
                <w:lang w:val="en-US"/>
              </w:rPr>
              <w:t>Nile alluvium</w:t>
            </w:r>
          </w:p>
        </w:tc>
        <w:tc>
          <w:tcPr>
            <w:tcW w:w="2524" w:type="dxa"/>
            <w:tcBorders>
              <w:top w:val="single" w:sz="4" w:space="0" w:color="000000"/>
              <w:left w:val="single" w:sz="4" w:space="0" w:color="auto"/>
              <w:bottom w:val="single" w:sz="4" w:space="0" w:color="000000"/>
              <w:right w:val="single" w:sz="4" w:space="0" w:color="auto"/>
            </w:tcBorders>
          </w:tcPr>
          <w:p w14:paraId="482A332D" w14:textId="77777777" w:rsidR="00E73BD8" w:rsidRPr="00250E94" w:rsidRDefault="00E73BD8" w:rsidP="00B27F75">
            <w:pPr>
              <w:widowControl w:val="0"/>
              <w:spacing w:after="200" w:line="240" w:lineRule="auto"/>
              <w:rPr>
                <w:rFonts w:eastAsiaTheme="minorHAnsi"/>
                <w:sz w:val="20"/>
                <w:szCs w:val="20"/>
                <w:lang w:val="en-US"/>
              </w:rPr>
            </w:pPr>
            <w:r w:rsidRPr="00250E94">
              <w:rPr>
                <w:rFonts w:eastAsiaTheme="minorHAnsi"/>
                <w:sz w:val="20"/>
                <w:szCs w:val="20"/>
                <w:lang w:val="en-US"/>
              </w:rPr>
              <w:t>Egypt</w:t>
            </w:r>
          </w:p>
        </w:tc>
        <w:tc>
          <w:tcPr>
            <w:tcW w:w="1256" w:type="dxa"/>
            <w:tcBorders>
              <w:top w:val="single" w:sz="4" w:space="0" w:color="000000"/>
              <w:left w:val="single" w:sz="4" w:space="0" w:color="auto"/>
              <w:bottom w:val="single" w:sz="4" w:space="0" w:color="000000"/>
              <w:right w:val="single" w:sz="4" w:space="0" w:color="auto"/>
            </w:tcBorders>
          </w:tcPr>
          <w:p w14:paraId="15FA1D04" w14:textId="77777777" w:rsidR="00E73BD8" w:rsidRPr="00250E94" w:rsidRDefault="00E73BD8" w:rsidP="00B27F75">
            <w:pPr>
              <w:widowControl w:val="0"/>
              <w:spacing w:after="200" w:line="240" w:lineRule="auto"/>
              <w:jc w:val="center"/>
              <w:rPr>
                <w:rFonts w:eastAsiaTheme="minorHAnsi"/>
                <w:sz w:val="20"/>
                <w:szCs w:val="20"/>
                <w:lang w:val="en-US"/>
              </w:rPr>
            </w:pPr>
            <w:r w:rsidRPr="00250E94">
              <w:rPr>
                <w:rFonts w:eastAsiaTheme="minorHAnsi"/>
                <w:sz w:val="20"/>
                <w:szCs w:val="20"/>
                <w:lang w:val="en-US"/>
              </w:rPr>
              <w:t>+</w:t>
            </w:r>
          </w:p>
        </w:tc>
        <w:tc>
          <w:tcPr>
            <w:tcW w:w="3690" w:type="dxa"/>
            <w:tcBorders>
              <w:top w:val="single" w:sz="4" w:space="0" w:color="000000"/>
              <w:left w:val="single" w:sz="4" w:space="0" w:color="auto"/>
              <w:bottom w:val="single" w:sz="4" w:space="0" w:color="000000"/>
              <w:right w:val="single" w:sz="4" w:space="0" w:color="auto"/>
            </w:tcBorders>
          </w:tcPr>
          <w:p w14:paraId="3737E9DC" w14:textId="77777777" w:rsidR="00E73BD8" w:rsidRPr="00250E94" w:rsidRDefault="00E73BD8" w:rsidP="00B27F75">
            <w:pPr>
              <w:widowControl w:val="0"/>
              <w:spacing w:after="200" w:line="240" w:lineRule="auto"/>
              <w:rPr>
                <w:rFonts w:eastAsiaTheme="minorHAnsi"/>
                <w:sz w:val="20"/>
                <w:szCs w:val="20"/>
                <w:lang w:val="en-US"/>
              </w:rPr>
            </w:pPr>
            <w:r w:rsidRPr="00250E94">
              <w:rPr>
                <w:rFonts w:eastAsiaTheme="minorHAnsi"/>
                <w:sz w:val="20"/>
                <w:szCs w:val="20"/>
                <w:lang w:val="en-US"/>
              </w:rPr>
              <w:t>Nile Valley</w:t>
            </w:r>
          </w:p>
        </w:tc>
        <w:tc>
          <w:tcPr>
            <w:tcW w:w="1530" w:type="dxa"/>
            <w:tcBorders>
              <w:top w:val="single" w:sz="4" w:space="0" w:color="000000"/>
              <w:left w:val="single" w:sz="4" w:space="0" w:color="auto"/>
              <w:bottom w:val="single" w:sz="4" w:space="0" w:color="000000"/>
              <w:right w:val="single" w:sz="4" w:space="0" w:color="auto"/>
            </w:tcBorders>
          </w:tcPr>
          <w:p w14:paraId="77137ABB" w14:textId="77777777" w:rsidR="00E73BD8" w:rsidRPr="00250E94" w:rsidRDefault="00E73BD8" w:rsidP="00B27F75">
            <w:pPr>
              <w:widowControl w:val="0"/>
              <w:spacing w:after="200" w:line="240" w:lineRule="auto"/>
              <w:jc w:val="center"/>
              <w:rPr>
                <w:rFonts w:eastAsiaTheme="minorHAnsi"/>
                <w:sz w:val="20"/>
                <w:szCs w:val="20"/>
                <w:lang w:val="en-US"/>
              </w:rPr>
            </w:pPr>
            <w:r w:rsidRPr="00250E94">
              <w:rPr>
                <w:rFonts w:eastAsiaTheme="minorHAnsi"/>
                <w:sz w:val="20"/>
                <w:szCs w:val="20"/>
                <w:lang w:val="en-US"/>
              </w:rPr>
              <w:t>+</w:t>
            </w:r>
          </w:p>
        </w:tc>
        <w:tc>
          <w:tcPr>
            <w:tcW w:w="1440" w:type="dxa"/>
            <w:tcBorders>
              <w:top w:val="single" w:sz="4" w:space="0" w:color="000000"/>
              <w:left w:val="single" w:sz="4" w:space="0" w:color="auto"/>
              <w:bottom w:val="single" w:sz="4" w:space="0" w:color="000000"/>
              <w:right w:val="single" w:sz="4" w:space="0" w:color="auto"/>
            </w:tcBorders>
          </w:tcPr>
          <w:p w14:paraId="415841A8" w14:textId="77777777" w:rsidR="00E73BD8" w:rsidRPr="00250E94" w:rsidRDefault="00E73BD8" w:rsidP="00B27F75">
            <w:pPr>
              <w:widowControl w:val="0"/>
              <w:spacing w:after="200" w:line="240" w:lineRule="auto"/>
              <w:jc w:val="center"/>
              <w:rPr>
                <w:rFonts w:eastAsiaTheme="minorHAnsi"/>
                <w:b/>
                <w:sz w:val="20"/>
                <w:szCs w:val="20"/>
                <w:lang w:val="en-US"/>
              </w:rPr>
            </w:pPr>
            <w:r w:rsidRPr="00250E94">
              <w:rPr>
                <w:rFonts w:eastAsiaTheme="minorHAnsi"/>
                <w:b/>
                <w:sz w:val="20"/>
                <w:szCs w:val="20"/>
                <w:lang w:val="en-US"/>
              </w:rPr>
              <w:t>+</w:t>
            </w:r>
          </w:p>
        </w:tc>
      </w:tr>
      <w:tr w:rsidR="00E73BD8" w:rsidRPr="00250E94" w14:paraId="4F8B9BFD" w14:textId="77777777" w:rsidTr="00B27F75">
        <w:trPr>
          <w:trHeight w:hRule="exact" w:val="323"/>
        </w:trPr>
        <w:tc>
          <w:tcPr>
            <w:tcW w:w="1633" w:type="dxa"/>
            <w:tcBorders>
              <w:top w:val="single" w:sz="4" w:space="0" w:color="000000"/>
              <w:left w:val="single" w:sz="4" w:space="0" w:color="auto"/>
              <w:bottom w:val="single" w:sz="4" w:space="0" w:color="000000"/>
              <w:right w:val="single" w:sz="4" w:space="0" w:color="auto"/>
            </w:tcBorders>
          </w:tcPr>
          <w:p w14:paraId="13DF6007" w14:textId="77777777" w:rsidR="00E73BD8" w:rsidRPr="00250E94" w:rsidRDefault="00E73BD8" w:rsidP="00B27F75">
            <w:pPr>
              <w:widowControl w:val="0"/>
              <w:spacing w:after="200" w:line="240" w:lineRule="auto"/>
              <w:rPr>
                <w:rFonts w:eastAsiaTheme="minorHAnsi"/>
                <w:sz w:val="20"/>
                <w:szCs w:val="20"/>
                <w:lang w:val="en-US"/>
              </w:rPr>
            </w:pPr>
            <w:r w:rsidRPr="00250E94">
              <w:rPr>
                <w:rFonts w:eastAsiaTheme="minorHAnsi"/>
                <w:sz w:val="20"/>
                <w:szCs w:val="20"/>
                <w:lang w:val="en-US"/>
              </w:rPr>
              <w:t>4549C, JH029</w:t>
            </w:r>
          </w:p>
        </w:tc>
        <w:tc>
          <w:tcPr>
            <w:tcW w:w="2408" w:type="dxa"/>
            <w:tcBorders>
              <w:top w:val="single" w:sz="4" w:space="0" w:color="000000"/>
              <w:left w:val="single" w:sz="4" w:space="0" w:color="auto"/>
              <w:bottom w:val="single" w:sz="4" w:space="0" w:color="000000"/>
              <w:right w:val="single" w:sz="4" w:space="0" w:color="auto"/>
            </w:tcBorders>
          </w:tcPr>
          <w:p w14:paraId="7B73B97E" w14:textId="77777777" w:rsidR="00E73BD8" w:rsidRPr="00250E94" w:rsidRDefault="00E73BD8" w:rsidP="00B27F75">
            <w:pPr>
              <w:widowControl w:val="0"/>
              <w:spacing w:after="200" w:line="240" w:lineRule="auto"/>
              <w:rPr>
                <w:rFonts w:eastAsiaTheme="minorHAnsi"/>
                <w:sz w:val="20"/>
                <w:szCs w:val="20"/>
                <w:lang w:val="en-US"/>
              </w:rPr>
            </w:pPr>
            <w:r w:rsidRPr="00250E94">
              <w:rPr>
                <w:rFonts w:eastAsiaTheme="minorHAnsi"/>
                <w:sz w:val="20"/>
                <w:szCs w:val="20"/>
                <w:lang w:val="en-US"/>
              </w:rPr>
              <w:t>Nile alluvium</w:t>
            </w:r>
          </w:p>
        </w:tc>
        <w:tc>
          <w:tcPr>
            <w:tcW w:w="2524" w:type="dxa"/>
            <w:tcBorders>
              <w:top w:val="single" w:sz="4" w:space="0" w:color="000000"/>
              <w:left w:val="single" w:sz="4" w:space="0" w:color="auto"/>
              <w:bottom w:val="single" w:sz="4" w:space="0" w:color="000000"/>
              <w:right w:val="single" w:sz="4" w:space="0" w:color="auto"/>
            </w:tcBorders>
          </w:tcPr>
          <w:p w14:paraId="21A00585" w14:textId="77777777" w:rsidR="00E73BD8" w:rsidRPr="00250E94" w:rsidRDefault="00E73BD8" w:rsidP="00B27F75">
            <w:pPr>
              <w:widowControl w:val="0"/>
              <w:spacing w:after="200" w:line="240" w:lineRule="auto"/>
              <w:rPr>
                <w:rFonts w:eastAsiaTheme="minorHAnsi"/>
                <w:sz w:val="20"/>
                <w:szCs w:val="20"/>
                <w:lang w:val="en-US"/>
              </w:rPr>
            </w:pPr>
            <w:r w:rsidRPr="00250E94">
              <w:rPr>
                <w:rFonts w:eastAsiaTheme="minorHAnsi"/>
                <w:sz w:val="20"/>
                <w:szCs w:val="20"/>
                <w:lang w:val="en-US"/>
              </w:rPr>
              <w:t>Egypt</w:t>
            </w:r>
          </w:p>
        </w:tc>
        <w:tc>
          <w:tcPr>
            <w:tcW w:w="1256" w:type="dxa"/>
            <w:tcBorders>
              <w:top w:val="single" w:sz="4" w:space="0" w:color="000000"/>
              <w:left w:val="single" w:sz="4" w:space="0" w:color="auto"/>
              <w:bottom w:val="single" w:sz="4" w:space="0" w:color="000000"/>
              <w:right w:val="single" w:sz="4" w:space="0" w:color="auto"/>
            </w:tcBorders>
          </w:tcPr>
          <w:p w14:paraId="130084C7" w14:textId="77777777" w:rsidR="00E73BD8" w:rsidRPr="00250E94" w:rsidRDefault="00E73BD8" w:rsidP="00B27F75">
            <w:pPr>
              <w:widowControl w:val="0"/>
              <w:spacing w:after="200" w:line="240" w:lineRule="auto"/>
              <w:jc w:val="center"/>
              <w:rPr>
                <w:rFonts w:eastAsiaTheme="minorHAnsi"/>
                <w:sz w:val="20"/>
                <w:szCs w:val="20"/>
                <w:lang w:val="en-US"/>
              </w:rPr>
            </w:pPr>
            <w:r w:rsidRPr="00250E94">
              <w:rPr>
                <w:rFonts w:eastAsiaTheme="minorHAnsi"/>
                <w:sz w:val="20"/>
                <w:szCs w:val="20"/>
                <w:lang w:val="en-US"/>
              </w:rPr>
              <w:t>+</w:t>
            </w:r>
          </w:p>
        </w:tc>
        <w:tc>
          <w:tcPr>
            <w:tcW w:w="3690" w:type="dxa"/>
            <w:tcBorders>
              <w:top w:val="single" w:sz="4" w:space="0" w:color="000000"/>
              <w:left w:val="single" w:sz="4" w:space="0" w:color="auto"/>
              <w:bottom w:val="single" w:sz="4" w:space="0" w:color="000000"/>
              <w:right w:val="single" w:sz="4" w:space="0" w:color="auto"/>
            </w:tcBorders>
          </w:tcPr>
          <w:p w14:paraId="15F28862" w14:textId="77777777" w:rsidR="00E73BD8" w:rsidRPr="00250E94" w:rsidRDefault="00E73BD8" w:rsidP="00B27F75">
            <w:pPr>
              <w:widowControl w:val="0"/>
              <w:spacing w:after="200" w:line="240" w:lineRule="auto"/>
              <w:rPr>
                <w:rFonts w:eastAsiaTheme="minorHAnsi"/>
                <w:sz w:val="20"/>
                <w:szCs w:val="20"/>
                <w:lang w:val="en-US"/>
              </w:rPr>
            </w:pPr>
            <w:r w:rsidRPr="00250E94">
              <w:rPr>
                <w:rFonts w:eastAsiaTheme="minorHAnsi"/>
                <w:sz w:val="20"/>
                <w:szCs w:val="20"/>
                <w:lang w:val="en-US"/>
              </w:rPr>
              <w:t>Northernmost Israeli coast or the Lebanese coast</w:t>
            </w:r>
          </w:p>
        </w:tc>
        <w:tc>
          <w:tcPr>
            <w:tcW w:w="1530" w:type="dxa"/>
            <w:tcBorders>
              <w:top w:val="single" w:sz="4" w:space="0" w:color="000000"/>
              <w:left w:val="single" w:sz="4" w:space="0" w:color="auto"/>
              <w:bottom w:val="single" w:sz="4" w:space="0" w:color="000000"/>
              <w:right w:val="single" w:sz="4" w:space="0" w:color="auto"/>
            </w:tcBorders>
          </w:tcPr>
          <w:p w14:paraId="1466D306" w14:textId="77777777" w:rsidR="00E73BD8" w:rsidRPr="00250E94" w:rsidRDefault="00E73BD8" w:rsidP="00B27F75">
            <w:pPr>
              <w:widowControl w:val="0"/>
              <w:spacing w:after="200" w:line="240" w:lineRule="auto"/>
              <w:jc w:val="center"/>
              <w:rPr>
                <w:rFonts w:eastAsiaTheme="minorHAnsi"/>
                <w:sz w:val="20"/>
                <w:szCs w:val="20"/>
                <w:lang w:val="en-US"/>
              </w:rPr>
            </w:pPr>
            <w:r w:rsidRPr="00250E94">
              <w:rPr>
                <w:rFonts w:eastAsiaTheme="minorHAnsi"/>
                <w:sz w:val="20"/>
                <w:szCs w:val="20"/>
                <w:lang w:val="en-US"/>
              </w:rPr>
              <w:t>-</w:t>
            </w:r>
          </w:p>
        </w:tc>
        <w:tc>
          <w:tcPr>
            <w:tcW w:w="1440" w:type="dxa"/>
            <w:tcBorders>
              <w:top w:val="single" w:sz="4" w:space="0" w:color="000000"/>
              <w:left w:val="single" w:sz="4" w:space="0" w:color="auto"/>
              <w:bottom w:val="single" w:sz="4" w:space="0" w:color="000000"/>
              <w:right w:val="single" w:sz="4" w:space="0" w:color="auto"/>
            </w:tcBorders>
          </w:tcPr>
          <w:p w14:paraId="47BA423B" w14:textId="77777777" w:rsidR="00E73BD8" w:rsidRPr="00250E94" w:rsidRDefault="00E73BD8" w:rsidP="00B27F75">
            <w:pPr>
              <w:widowControl w:val="0"/>
              <w:spacing w:after="200" w:line="240" w:lineRule="auto"/>
              <w:jc w:val="center"/>
              <w:rPr>
                <w:rFonts w:eastAsiaTheme="minorHAnsi"/>
                <w:b/>
                <w:sz w:val="20"/>
                <w:szCs w:val="20"/>
                <w:lang w:val="en-US"/>
              </w:rPr>
            </w:pPr>
            <w:r w:rsidRPr="00250E94">
              <w:rPr>
                <w:rFonts w:eastAsiaTheme="minorHAnsi"/>
                <w:b/>
                <w:sz w:val="20"/>
                <w:szCs w:val="20"/>
                <w:lang w:val="en-US"/>
              </w:rPr>
              <w:t>-</w:t>
            </w:r>
          </w:p>
        </w:tc>
      </w:tr>
      <w:tr w:rsidR="00E73BD8" w:rsidRPr="00250E94" w14:paraId="68B36CB0" w14:textId="77777777" w:rsidTr="00B27F75">
        <w:trPr>
          <w:trHeight w:hRule="exact" w:val="307"/>
        </w:trPr>
        <w:tc>
          <w:tcPr>
            <w:tcW w:w="1633" w:type="dxa"/>
            <w:tcBorders>
              <w:top w:val="single" w:sz="4" w:space="0" w:color="000000"/>
              <w:left w:val="single" w:sz="4" w:space="0" w:color="auto"/>
              <w:bottom w:val="single" w:sz="4" w:space="0" w:color="000000"/>
              <w:right w:val="single" w:sz="4" w:space="0" w:color="auto"/>
            </w:tcBorders>
          </w:tcPr>
          <w:p w14:paraId="39EC087C" w14:textId="77777777" w:rsidR="00E73BD8" w:rsidRPr="00250E94" w:rsidRDefault="00E73BD8" w:rsidP="00B27F75">
            <w:pPr>
              <w:widowControl w:val="0"/>
              <w:spacing w:after="200" w:line="240" w:lineRule="auto"/>
              <w:rPr>
                <w:rFonts w:eastAsiaTheme="minorHAnsi"/>
                <w:sz w:val="20"/>
                <w:szCs w:val="20"/>
                <w:lang w:val="en-US"/>
              </w:rPr>
            </w:pPr>
            <w:r w:rsidRPr="00250E94">
              <w:rPr>
                <w:rFonts w:eastAsiaTheme="minorHAnsi"/>
                <w:sz w:val="20"/>
                <w:szCs w:val="20"/>
                <w:lang w:val="en-US"/>
              </w:rPr>
              <w:t>4550B, JH033-036</w:t>
            </w:r>
          </w:p>
        </w:tc>
        <w:tc>
          <w:tcPr>
            <w:tcW w:w="2408" w:type="dxa"/>
            <w:tcBorders>
              <w:top w:val="single" w:sz="4" w:space="0" w:color="000000"/>
              <w:left w:val="single" w:sz="4" w:space="0" w:color="auto"/>
              <w:bottom w:val="single" w:sz="4" w:space="0" w:color="000000"/>
              <w:right w:val="single" w:sz="4" w:space="0" w:color="auto"/>
            </w:tcBorders>
          </w:tcPr>
          <w:p w14:paraId="2F0E5324" w14:textId="77777777" w:rsidR="00E73BD8" w:rsidRPr="00250E94" w:rsidRDefault="00E73BD8" w:rsidP="00B27F75">
            <w:pPr>
              <w:widowControl w:val="0"/>
              <w:spacing w:after="200" w:line="240" w:lineRule="auto"/>
              <w:rPr>
                <w:rFonts w:eastAsiaTheme="minorHAnsi"/>
                <w:sz w:val="20"/>
                <w:szCs w:val="20"/>
                <w:lang w:val="en-US"/>
              </w:rPr>
            </w:pPr>
            <w:r w:rsidRPr="00250E94">
              <w:rPr>
                <w:rFonts w:eastAsiaTheme="minorHAnsi"/>
                <w:sz w:val="20"/>
                <w:szCs w:val="20"/>
                <w:lang w:val="en-US"/>
              </w:rPr>
              <w:t>Southern Palestine</w:t>
            </w:r>
          </w:p>
        </w:tc>
        <w:tc>
          <w:tcPr>
            <w:tcW w:w="2524" w:type="dxa"/>
            <w:tcBorders>
              <w:top w:val="single" w:sz="4" w:space="0" w:color="000000"/>
              <w:left w:val="single" w:sz="4" w:space="0" w:color="auto"/>
              <w:bottom w:val="single" w:sz="4" w:space="0" w:color="000000"/>
              <w:right w:val="single" w:sz="4" w:space="0" w:color="auto"/>
            </w:tcBorders>
          </w:tcPr>
          <w:p w14:paraId="53985A9A" w14:textId="77777777" w:rsidR="00E73BD8" w:rsidRPr="00250E94" w:rsidRDefault="00E73BD8" w:rsidP="00B27F75">
            <w:pPr>
              <w:widowControl w:val="0"/>
              <w:spacing w:after="200" w:line="240" w:lineRule="auto"/>
              <w:rPr>
                <w:rFonts w:eastAsiaTheme="minorHAnsi"/>
                <w:sz w:val="20"/>
                <w:szCs w:val="20"/>
                <w:lang w:val="en-US"/>
              </w:rPr>
            </w:pPr>
            <w:r w:rsidRPr="00250E94">
              <w:rPr>
                <w:rFonts w:eastAsiaTheme="minorHAnsi"/>
                <w:sz w:val="20"/>
                <w:szCs w:val="20"/>
                <w:lang w:val="en-US"/>
              </w:rPr>
              <w:t>Central Coastal Plain</w:t>
            </w:r>
          </w:p>
        </w:tc>
        <w:tc>
          <w:tcPr>
            <w:tcW w:w="1256" w:type="dxa"/>
            <w:tcBorders>
              <w:top w:val="single" w:sz="4" w:space="0" w:color="000000"/>
              <w:left w:val="single" w:sz="4" w:space="0" w:color="auto"/>
              <w:bottom w:val="single" w:sz="4" w:space="0" w:color="000000"/>
              <w:right w:val="single" w:sz="4" w:space="0" w:color="auto"/>
            </w:tcBorders>
          </w:tcPr>
          <w:p w14:paraId="16D8AD93" w14:textId="77777777" w:rsidR="00E73BD8" w:rsidRPr="00250E94" w:rsidRDefault="00E73BD8" w:rsidP="00B27F75">
            <w:pPr>
              <w:widowControl w:val="0"/>
              <w:spacing w:after="200" w:line="240" w:lineRule="auto"/>
              <w:jc w:val="center"/>
              <w:rPr>
                <w:rFonts w:eastAsiaTheme="minorHAnsi"/>
                <w:sz w:val="20"/>
                <w:szCs w:val="20"/>
                <w:lang w:val="en-US"/>
              </w:rPr>
            </w:pPr>
            <w:r w:rsidRPr="00250E94">
              <w:rPr>
                <w:rFonts w:eastAsiaTheme="minorHAnsi"/>
                <w:sz w:val="20"/>
                <w:szCs w:val="20"/>
                <w:lang w:val="en-US"/>
              </w:rPr>
              <w:t>-</w:t>
            </w:r>
          </w:p>
        </w:tc>
        <w:tc>
          <w:tcPr>
            <w:tcW w:w="3690" w:type="dxa"/>
            <w:tcBorders>
              <w:top w:val="single" w:sz="4" w:space="0" w:color="000000"/>
              <w:left w:val="single" w:sz="4" w:space="0" w:color="auto"/>
              <w:bottom w:val="single" w:sz="4" w:space="0" w:color="000000"/>
              <w:right w:val="single" w:sz="4" w:space="0" w:color="auto"/>
            </w:tcBorders>
          </w:tcPr>
          <w:p w14:paraId="11879BE6" w14:textId="77777777" w:rsidR="00E73BD8" w:rsidRPr="00250E94" w:rsidRDefault="00E73BD8" w:rsidP="00B27F75">
            <w:pPr>
              <w:widowControl w:val="0"/>
              <w:spacing w:after="200" w:line="240" w:lineRule="auto"/>
              <w:rPr>
                <w:rFonts w:eastAsiaTheme="minorHAnsi"/>
                <w:sz w:val="20"/>
                <w:szCs w:val="20"/>
                <w:lang w:val="en-US"/>
              </w:rPr>
            </w:pPr>
            <w:r w:rsidRPr="00250E94">
              <w:rPr>
                <w:rFonts w:eastAsiaTheme="minorHAnsi"/>
                <w:sz w:val="20"/>
                <w:szCs w:val="20"/>
                <w:lang w:val="en-US"/>
              </w:rPr>
              <w:t>Nile Valley</w:t>
            </w:r>
          </w:p>
        </w:tc>
        <w:tc>
          <w:tcPr>
            <w:tcW w:w="1530" w:type="dxa"/>
            <w:tcBorders>
              <w:top w:val="single" w:sz="4" w:space="0" w:color="000000"/>
              <w:left w:val="single" w:sz="4" w:space="0" w:color="auto"/>
              <w:bottom w:val="single" w:sz="4" w:space="0" w:color="000000"/>
              <w:right w:val="single" w:sz="4" w:space="0" w:color="auto"/>
            </w:tcBorders>
          </w:tcPr>
          <w:p w14:paraId="1A748293" w14:textId="77777777" w:rsidR="00E73BD8" w:rsidRPr="00250E94" w:rsidRDefault="00E73BD8" w:rsidP="00B27F75">
            <w:pPr>
              <w:widowControl w:val="0"/>
              <w:spacing w:after="200" w:line="240" w:lineRule="auto"/>
              <w:jc w:val="center"/>
              <w:rPr>
                <w:rFonts w:eastAsiaTheme="minorHAnsi"/>
                <w:sz w:val="20"/>
                <w:szCs w:val="20"/>
                <w:lang w:val="en-US"/>
              </w:rPr>
            </w:pPr>
            <w:r w:rsidRPr="00250E94">
              <w:rPr>
                <w:rFonts w:eastAsiaTheme="minorHAnsi"/>
                <w:sz w:val="20"/>
                <w:szCs w:val="20"/>
                <w:lang w:val="en-US"/>
              </w:rPr>
              <w:t>-</w:t>
            </w:r>
          </w:p>
        </w:tc>
        <w:tc>
          <w:tcPr>
            <w:tcW w:w="1440" w:type="dxa"/>
            <w:tcBorders>
              <w:top w:val="single" w:sz="4" w:space="0" w:color="000000"/>
              <w:left w:val="single" w:sz="4" w:space="0" w:color="auto"/>
              <w:bottom w:val="single" w:sz="4" w:space="0" w:color="000000"/>
              <w:right w:val="single" w:sz="4" w:space="0" w:color="auto"/>
            </w:tcBorders>
          </w:tcPr>
          <w:p w14:paraId="02C207D7" w14:textId="77777777" w:rsidR="00E73BD8" w:rsidRPr="00250E94" w:rsidRDefault="00E73BD8" w:rsidP="00B27F75">
            <w:pPr>
              <w:widowControl w:val="0"/>
              <w:spacing w:after="200" w:line="240" w:lineRule="auto"/>
              <w:jc w:val="center"/>
              <w:rPr>
                <w:rFonts w:eastAsiaTheme="minorHAnsi"/>
                <w:b/>
                <w:sz w:val="20"/>
                <w:szCs w:val="20"/>
                <w:lang w:val="en-US"/>
              </w:rPr>
            </w:pPr>
            <w:r w:rsidRPr="00250E94">
              <w:rPr>
                <w:rFonts w:eastAsiaTheme="minorHAnsi"/>
                <w:b/>
                <w:sz w:val="20"/>
                <w:szCs w:val="20"/>
                <w:lang w:val="en-US"/>
              </w:rPr>
              <w:t>-</w:t>
            </w:r>
          </w:p>
        </w:tc>
      </w:tr>
      <w:tr w:rsidR="00E73BD8" w:rsidRPr="00250E94" w14:paraId="01BF023E" w14:textId="77777777" w:rsidTr="00B27F75">
        <w:trPr>
          <w:trHeight w:hRule="exact" w:val="323"/>
        </w:trPr>
        <w:tc>
          <w:tcPr>
            <w:tcW w:w="1633" w:type="dxa"/>
            <w:tcBorders>
              <w:top w:val="single" w:sz="4" w:space="0" w:color="000000"/>
              <w:left w:val="single" w:sz="4" w:space="0" w:color="auto"/>
              <w:bottom w:val="single" w:sz="4" w:space="0" w:color="000000"/>
              <w:right w:val="single" w:sz="4" w:space="0" w:color="auto"/>
            </w:tcBorders>
          </w:tcPr>
          <w:p w14:paraId="465D94E0" w14:textId="77777777" w:rsidR="00E73BD8" w:rsidRPr="00250E94" w:rsidRDefault="00E73BD8" w:rsidP="00B27F75">
            <w:pPr>
              <w:widowControl w:val="0"/>
              <w:spacing w:after="200" w:line="240" w:lineRule="auto"/>
              <w:rPr>
                <w:rFonts w:eastAsiaTheme="minorHAnsi"/>
                <w:sz w:val="20"/>
                <w:szCs w:val="20"/>
                <w:lang w:val="en-US"/>
              </w:rPr>
            </w:pPr>
            <w:r w:rsidRPr="00250E94">
              <w:rPr>
                <w:rFonts w:eastAsiaTheme="minorHAnsi"/>
                <w:sz w:val="20"/>
                <w:szCs w:val="20"/>
                <w:lang w:val="en-US"/>
              </w:rPr>
              <w:t>4551B, JH045</w:t>
            </w:r>
          </w:p>
        </w:tc>
        <w:tc>
          <w:tcPr>
            <w:tcW w:w="2408" w:type="dxa"/>
            <w:tcBorders>
              <w:top w:val="single" w:sz="4" w:space="0" w:color="000000"/>
              <w:left w:val="single" w:sz="4" w:space="0" w:color="auto"/>
              <w:bottom w:val="single" w:sz="4" w:space="0" w:color="000000"/>
              <w:right w:val="single" w:sz="4" w:space="0" w:color="auto"/>
            </w:tcBorders>
          </w:tcPr>
          <w:p w14:paraId="0F25264D" w14:textId="77777777" w:rsidR="00E73BD8" w:rsidRPr="00250E94" w:rsidRDefault="00E73BD8" w:rsidP="00B27F75">
            <w:pPr>
              <w:widowControl w:val="0"/>
              <w:spacing w:after="200" w:line="240" w:lineRule="auto"/>
              <w:rPr>
                <w:rFonts w:eastAsiaTheme="minorHAnsi"/>
                <w:sz w:val="20"/>
                <w:szCs w:val="20"/>
                <w:lang w:val="en-US"/>
              </w:rPr>
            </w:pPr>
            <w:r w:rsidRPr="00250E94">
              <w:rPr>
                <w:rFonts w:eastAsiaTheme="minorHAnsi"/>
                <w:sz w:val="20"/>
                <w:szCs w:val="20"/>
                <w:lang w:val="en-US"/>
              </w:rPr>
              <w:t>Southern Palestine</w:t>
            </w:r>
          </w:p>
        </w:tc>
        <w:tc>
          <w:tcPr>
            <w:tcW w:w="2524" w:type="dxa"/>
            <w:tcBorders>
              <w:top w:val="single" w:sz="4" w:space="0" w:color="000000"/>
              <w:left w:val="single" w:sz="4" w:space="0" w:color="auto"/>
              <w:bottom w:val="single" w:sz="4" w:space="0" w:color="000000"/>
              <w:right w:val="single" w:sz="4" w:space="0" w:color="auto"/>
            </w:tcBorders>
          </w:tcPr>
          <w:p w14:paraId="1F3B120B" w14:textId="77777777" w:rsidR="00E73BD8" w:rsidRPr="00250E94" w:rsidRDefault="00E73BD8" w:rsidP="00B27F75">
            <w:pPr>
              <w:widowControl w:val="0"/>
              <w:spacing w:after="200" w:line="240" w:lineRule="auto"/>
              <w:rPr>
                <w:rFonts w:eastAsiaTheme="minorHAnsi"/>
                <w:sz w:val="20"/>
                <w:szCs w:val="20"/>
                <w:lang w:val="en-US"/>
              </w:rPr>
            </w:pPr>
            <w:r w:rsidRPr="00250E94">
              <w:rPr>
                <w:rFonts w:eastAsiaTheme="minorHAnsi"/>
                <w:sz w:val="20"/>
                <w:szCs w:val="20"/>
                <w:lang w:val="en-US"/>
              </w:rPr>
              <w:t>Not recorded</w:t>
            </w:r>
          </w:p>
        </w:tc>
        <w:tc>
          <w:tcPr>
            <w:tcW w:w="1256" w:type="dxa"/>
            <w:tcBorders>
              <w:top w:val="single" w:sz="4" w:space="0" w:color="000000"/>
              <w:left w:val="single" w:sz="4" w:space="0" w:color="auto"/>
              <w:bottom w:val="single" w:sz="4" w:space="0" w:color="000000"/>
              <w:right w:val="single" w:sz="4" w:space="0" w:color="auto"/>
            </w:tcBorders>
          </w:tcPr>
          <w:p w14:paraId="38300112" w14:textId="77777777" w:rsidR="00E73BD8" w:rsidRPr="00250E94" w:rsidRDefault="00E73BD8" w:rsidP="00B27F75">
            <w:pPr>
              <w:widowControl w:val="0"/>
              <w:spacing w:after="200" w:line="240" w:lineRule="auto"/>
              <w:jc w:val="center"/>
              <w:rPr>
                <w:rFonts w:eastAsiaTheme="minorHAnsi"/>
                <w:sz w:val="20"/>
                <w:szCs w:val="20"/>
                <w:lang w:val="en-US"/>
              </w:rPr>
            </w:pPr>
            <w:r w:rsidRPr="00250E94">
              <w:rPr>
                <w:rFonts w:eastAsiaTheme="minorHAnsi"/>
                <w:sz w:val="20"/>
                <w:szCs w:val="20"/>
                <w:lang w:val="en-US"/>
              </w:rPr>
              <w:t>No information</w:t>
            </w:r>
          </w:p>
        </w:tc>
        <w:tc>
          <w:tcPr>
            <w:tcW w:w="3690" w:type="dxa"/>
            <w:tcBorders>
              <w:top w:val="single" w:sz="4" w:space="0" w:color="000000"/>
              <w:left w:val="single" w:sz="4" w:space="0" w:color="auto"/>
              <w:bottom w:val="single" w:sz="4" w:space="0" w:color="000000"/>
              <w:right w:val="single" w:sz="4" w:space="0" w:color="auto"/>
            </w:tcBorders>
          </w:tcPr>
          <w:p w14:paraId="24A5D78C" w14:textId="77777777" w:rsidR="00E73BD8" w:rsidRPr="00250E94" w:rsidRDefault="00E73BD8" w:rsidP="00B27F75">
            <w:pPr>
              <w:widowControl w:val="0"/>
              <w:spacing w:after="200" w:line="240" w:lineRule="auto"/>
              <w:rPr>
                <w:rFonts w:eastAsiaTheme="minorHAnsi"/>
                <w:sz w:val="20"/>
                <w:szCs w:val="20"/>
                <w:lang w:val="en-US"/>
              </w:rPr>
            </w:pPr>
            <w:r w:rsidRPr="00250E94">
              <w:rPr>
                <w:rFonts w:eastAsiaTheme="minorHAnsi"/>
                <w:sz w:val="20"/>
                <w:szCs w:val="20"/>
                <w:lang w:val="en-US"/>
              </w:rPr>
              <w:t>Northernmost Israeli coast or the Lebanese coast</w:t>
            </w:r>
          </w:p>
        </w:tc>
        <w:tc>
          <w:tcPr>
            <w:tcW w:w="1530" w:type="dxa"/>
            <w:tcBorders>
              <w:top w:val="single" w:sz="4" w:space="0" w:color="000000"/>
              <w:left w:val="single" w:sz="4" w:space="0" w:color="auto"/>
              <w:bottom w:val="single" w:sz="4" w:space="0" w:color="000000"/>
              <w:right w:val="single" w:sz="4" w:space="0" w:color="auto"/>
            </w:tcBorders>
          </w:tcPr>
          <w:p w14:paraId="094ADEB1" w14:textId="77777777" w:rsidR="00E73BD8" w:rsidRPr="00250E94" w:rsidRDefault="00E73BD8" w:rsidP="00B27F75">
            <w:pPr>
              <w:widowControl w:val="0"/>
              <w:spacing w:after="200" w:line="240" w:lineRule="auto"/>
              <w:jc w:val="center"/>
              <w:rPr>
                <w:rFonts w:eastAsiaTheme="minorHAnsi"/>
                <w:sz w:val="20"/>
                <w:szCs w:val="20"/>
                <w:lang w:val="en-US"/>
              </w:rPr>
            </w:pPr>
            <w:r w:rsidRPr="00250E94">
              <w:rPr>
                <w:rFonts w:eastAsiaTheme="minorHAnsi"/>
                <w:sz w:val="20"/>
                <w:szCs w:val="20"/>
                <w:lang w:val="en-US"/>
              </w:rPr>
              <w:t>-</w:t>
            </w:r>
          </w:p>
        </w:tc>
        <w:tc>
          <w:tcPr>
            <w:tcW w:w="1440" w:type="dxa"/>
            <w:tcBorders>
              <w:top w:val="single" w:sz="4" w:space="0" w:color="000000"/>
              <w:left w:val="single" w:sz="4" w:space="0" w:color="auto"/>
              <w:bottom w:val="single" w:sz="4" w:space="0" w:color="000000"/>
              <w:right w:val="single" w:sz="4" w:space="0" w:color="auto"/>
            </w:tcBorders>
          </w:tcPr>
          <w:p w14:paraId="184DF50F" w14:textId="77777777" w:rsidR="00E73BD8" w:rsidRPr="00250E94" w:rsidRDefault="00E73BD8" w:rsidP="00B27F75">
            <w:pPr>
              <w:widowControl w:val="0"/>
              <w:spacing w:after="200" w:line="240" w:lineRule="auto"/>
              <w:jc w:val="center"/>
              <w:rPr>
                <w:rFonts w:eastAsiaTheme="minorHAnsi"/>
                <w:b/>
                <w:sz w:val="20"/>
                <w:szCs w:val="20"/>
                <w:lang w:val="en-US"/>
              </w:rPr>
            </w:pPr>
            <w:r w:rsidRPr="00250E94">
              <w:rPr>
                <w:rFonts w:eastAsiaTheme="minorHAnsi"/>
                <w:b/>
                <w:sz w:val="20"/>
                <w:szCs w:val="20"/>
                <w:lang w:val="en-US"/>
              </w:rPr>
              <w:t>No information</w:t>
            </w:r>
          </w:p>
        </w:tc>
      </w:tr>
      <w:tr w:rsidR="00E73BD8" w:rsidRPr="00250E94" w14:paraId="28BB4C70" w14:textId="77777777" w:rsidTr="00B27F75">
        <w:trPr>
          <w:trHeight w:hRule="exact" w:val="478"/>
        </w:trPr>
        <w:tc>
          <w:tcPr>
            <w:tcW w:w="1633" w:type="dxa"/>
            <w:tcBorders>
              <w:top w:val="single" w:sz="4" w:space="0" w:color="000000"/>
              <w:left w:val="single" w:sz="4" w:space="0" w:color="auto"/>
              <w:bottom w:val="single" w:sz="4" w:space="0" w:color="000000"/>
              <w:right w:val="single" w:sz="4" w:space="0" w:color="auto"/>
            </w:tcBorders>
          </w:tcPr>
          <w:p w14:paraId="17C5A412" w14:textId="77777777" w:rsidR="00E73BD8" w:rsidRPr="00250E94" w:rsidRDefault="00E73BD8" w:rsidP="00B27F75">
            <w:pPr>
              <w:widowControl w:val="0"/>
              <w:spacing w:after="200" w:line="240" w:lineRule="auto"/>
              <w:rPr>
                <w:rFonts w:eastAsiaTheme="minorHAnsi"/>
                <w:sz w:val="20"/>
                <w:szCs w:val="20"/>
                <w:lang w:val="en-US"/>
              </w:rPr>
            </w:pPr>
            <w:r w:rsidRPr="00250E94">
              <w:rPr>
                <w:rFonts w:eastAsiaTheme="minorHAnsi"/>
                <w:sz w:val="20"/>
                <w:szCs w:val="20"/>
                <w:lang w:val="en-US"/>
              </w:rPr>
              <w:t>4551C, JH046</w:t>
            </w:r>
          </w:p>
        </w:tc>
        <w:tc>
          <w:tcPr>
            <w:tcW w:w="2408" w:type="dxa"/>
            <w:tcBorders>
              <w:top w:val="single" w:sz="4" w:space="0" w:color="000000"/>
              <w:left w:val="single" w:sz="4" w:space="0" w:color="auto"/>
              <w:bottom w:val="single" w:sz="4" w:space="0" w:color="000000"/>
              <w:right w:val="single" w:sz="4" w:space="0" w:color="auto"/>
            </w:tcBorders>
          </w:tcPr>
          <w:p w14:paraId="14340C14" w14:textId="77777777" w:rsidR="00E73BD8" w:rsidRPr="00250E94" w:rsidRDefault="00E73BD8" w:rsidP="00B27F75">
            <w:pPr>
              <w:widowControl w:val="0"/>
              <w:spacing w:after="200" w:line="240" w:lineRule="auto"/>
              <w:rPr>
                <w:rFonts w:eastAsiaTheme="minorHAnsi"/>
                <w:sz w:val="20"/>
                <w:szCs w:val="20"/>
                <w:lang w:val="en-US"/>
              </w:rPr>
            </w:pPr>
            <w:r w:rsidRPr="00250E94">
              <w:rPr>
                <w:rFonts w:eastAsiaTheme="minorHAnsi"/>
                <w:sz w:val="20"/>
                <w:szCs w:val="20"/>
                <w:lang w:val="en-US"/>
              </w:rPr>
              <w:t>? (possibly Southern Palestine)</w:t>
            </w:r>
          </w:p>
        </w:tc>
        <w:tc>
          <w:tcPr>
            <w:tcW w:w="2524" w:type="dxa"/>
            <w:tcBorders>
              <w:top w:val="single" w:sz="4" w:space="0" w:color="000000"/>
              <w:left w:val="single" w:sz="4" w:space="0" w:color="auto"/>
              <w:bottom w:val="single" w:sz="4" w:space="0" w:color="000000"/>
              <w:right w:val="single" w:sz="4" w:space="0" w:color="auto"/>
            </w:tcBorders>
          </w:tcPr>
          <w:p w14:paraId="2BC014F6" w14:textId="77777777" w:rsidR="00E73BD8" w:rsidRPr="00250E94" w:rsidRDefault="00E73BD8" w:rsidP="00B27F75">
            <w:pPr>
              <w:widowControl w:val="0"/>
              <w:spacing w:after="200" w:line="240" w:lineRule="auto"/>
              <w:rPr>
                <w:rFonts w:eastAsiaTheme="minorHAnsi"/>
                <w:sz w:val="20"/>
                <w:szCs w:val="20"/>
                <w:lang w:val="en-US"/>
              </w:rPr>
            </w:pPr>
            <w:r w:rsidRPr="00250E94">
              <w:rPr>
                <w:rFonts w:eastAsiaTheme="minorHAnsi"/>
                <w:sz w:val="20"/>
                <w:szCs w:val="20"/>
                <w:lang w:val="en-US"/>
              </w:rPr>
              <w:t>Central and Southern Hill Country</w:t>
            </w:r>
          </w:p>
        </w:tc>
        <w:tc>
          <w:tcPr>
            <w:tcW w:w="1256" w:type="dxa"/>
            <w:tcBorders>
              <w:top w:val="single" w:sz="4" w:space="0" w:color="000000"/>
              <w:left w:val="single" w:sz="4" w:space="0" w:color="auto"/>
              <w:bottom w:val="single" w:sz="4" w:space="0" w:color="000000"/>
              <w:right w:val="single" w:sz="4" w:space="0" w:color="auto"/>
            </w:tcBorders>
          </w:tcPr>
          <w:p w14:paraId="02F0F5F7" w14:textId="77777777" w:rsidR="00E73BD8" w:rsidRPr="00250E94" w:rsidRDefault="00E73BD8" w:rsidP="00B27F75">
            <w:pPr>
              <w:widowControl w:val="0"/>
              <w:spacing w:after="200" w:line="240" w:lineRule="auto"/>
              <w:jc w:val="center"/>
              <w:rPr>
                <w:rFonts w:eastAsiaTheme="minorHAnsi"/>
                <w:sz w:val="20"/>
                <w:szCs w:val="20"/>
                <w:lang w:val="en-US"/>
              </w:rPr>
            </w:pPr>
            <w:r w:rsidRPr="00250E94">
              <w:rPr>
                <w:rFonts w:eastAsiaTheme="minorHAnsi"/>
                <w:sz w:val="20"/>
                <w:szCs w:val="20"/>
                <w:lang w:val="en-US"/>
              </w:rPr>
              <w:t>-</w:t>
            </w:r>
          </w:p>
        </w:tc>
        <w:tc>
          <w:tcPr>
            <w:tcW w:w="3690" w:type="dxa"/>
            <w:tcBorders>
              <w:top w:val="single" w:sz="4" w:space="0" w:color="000000"/>
              <w:left w:val="single" w:sz="4" w:space="0" w:color="auto"/>
              <w:bottom w:val="single" w:sz="4" w:space="0" w:color="000000"/>
              <w:right w:val="single" w:sz="4" w:space="0" w:color="auto"/>
            </w:tcBorders>
          </w:tcPr>
          <w:p w14:paraId="7118BAFA" w14:textId="77777777" w:rsidR="00E73BD8" w:rsidRPr="00250E94" w:rsidRDefault="00E73BD8" w:rsidP="00B27F75">
            <w:pPr>
              <w:widowControl w:val="0"/>
              <w:spacing w:after="200" w:line="240" w:lineRule="auto"/>
              <w:rPr>
                <w:rFonts w:eastAsiaTheme="minorHAnsi"/>
                <w:sz w:val="20"/>
                <w:szCs w:val="20"/>
                <w:lang w:val="en-US"/>
              </w:rPr>
            </w:pPr>
            <w:bookmarkStart w:id="74" w:name="_Hlk8455710"/>
            <w:r w:rsidRPr="00250E94">
              <w:rPr>
                <w:rFonts w:eastAsiaTheme="minorHAnsi"/>
                <w:sz w:val="20"/>
                <w:szCs w:val="20"/>
                <w:lang w:val="en-US"/>
              </w:rPr>
              <w:t>Northernmost Israeli coast or the Lebanese coast</w:t>
            </w:r>
            <w:bookmarkEnd w:id="74"/>
          </w:p>
        </w:tc>
        <w:tc>
          <w:tcPr>
            <w:tcW w:w="1530" w:type="dxa"/>
            <w:tcBorders>
              <w:top w:val="single" w:sz="4" w:space="0" w:color="000000"/>
              <w:left w:val="single" w:sz="4" w:space="0" w:color="auto"/>
              <w:bottom w:val="single" w:sz="4" w:space="0" w:color="000000"/>
              <w:right w:val="single" w:sz="4" w:space="0" w:color="auto"/>
            </w:tcBorders>
          </w:tcPr>
          <w:p w14:paraId="5CC9F624" w14:textId="77777777" w:rsidR="00E73BD8" w:rsidRPr="00250E94" w:rsidRDefault="00E73BD8" w:rsidP="00B27F75">
            <w:pPr>
              <w:widowControl w:val="0"/>
              <w:spacing w:after="200" w:line="240" w:lineRule="auto"/>
              <w:jc w:val="center"/>
              <w:rPr>
                <w:rFonts w:eastAsiaTheme="minorHAnsi"/>
                <w:sz w:val="20"/>
                <w:szCs w:val="20"/>
                <w:lang w:val="en-US"/>
              </w:rPr>
            </w:pPr>
            <w:r w:rsidRPr="00250E94">
              <w:rPr>
                <w:rFonts w:eastAsiaTheme="minorHAnsi"/>
                <w:sz w:val="20"/>
                <w:szCs w:val="20"/>
                <w:lang w:val="en-US"/>
              </w:rPr>
              <w:t>N.D. ? (should be -)</w:t>
            </w:r>
          </w:p>
        </w:tc>
        <w:tc>
          <w:tcPr>
            <w:tcW w:w="1440" w:type="dxa"/>
            <w:tcBorders>
              <w:top w:val="single" w:sz="4" w:space="0" w:color="000000"/>
              <w:left w:val="single" w:sz="4" w:space="0" w:color="auto"/>
              <w:bottom w:val="single" w:sz="4" w:space="0" w:color="000000"/>
              <w:right w:val="single" w:sz="4" w:space="0" w:color="auto"/>
            </w:tcBorders>
          </w:tcPr>
          <w:p w14:paraId="4AF4B472" w14:textId="77777777" w:rsidR="00E73BD8" w:rsidRPr="00250E94" w:rsidRDefault="00E73BD8" w:rsidP="00B27F75">
            <w:pPr>
              <w:widowControl w:val="0"/>
              <w:spacing w:after="200" w:line="240" w:lineRule="auto"/>
              <w:jc w:val="center"/>
              <w:rPr>
                <w:rFonts w:eastAsiaTheme="minorHAnsi"/>
                <w:b/>
                <w:sz w:val="20"/>
                <w:szCs w:val="20"/>
                <w:lang w:val="en-US"/>
              </w:rPr>
            </w:pPr>
            <w:r w:rsidRPr="00250E94">
              <w:rPr>
                <w:rFonts w:eastAsiaTheme="minorHAnsi"/>
                <w:b/>
                <w:sz w:val="20"/>
                <w:szCs w:val="20"/>
                <w:lang w:val="en-US"/>
              </w:rPr>
              <w:t>-</w:t>
            </w:r>
          </w:p>
        </w:tc>
      </w:tr>
      <w:tr w:rsidR="00E73BD8" w:rsidRPr="00250E94" w14:paraId="41B20871" w14:textId="77777777" w:rsidTr="00B27F75">
        <w:trPr>
          <w:trHeight w:hRule="exact" w:val="226"/>
        </w:trPr>
        <w:tc>
          <w:tcPr>
            <w:tcW w:w="1633" w:type="dxa"/>
            <w:tcBorders>
              <w:top w:val="single" w:sz="4" w:space="0" w:color="000000"/>
              <w:left w:val="single" w:sz="4" w:space="0" w:color="auto"/>
              <w:bottom w:val="single" w:sz="4" w:space="0" w:color="000000"/>
              <w:right w:val="single" w:sz="4" w:space="0" w:color="auto"/>
            </w:tcBorders>
          </w:tcPr>
          <w:p w14:paraId="3470220E" w14:textId="77777777" w:rsidR="00E73BD8" w:rsidRPr="00250E94" w:rsidRDefault="00E73BD8" w:rsidP="00B27F75">
            <w:pPr>
              <w:widowControl w:val="0"/>
              <w:spacing w:after="200" w:line="240" w:lineRule="auto"/>
              <w:rPr>
                <w:rFonts w:eastAsiaTheme="minorHAnsi"/>
                <w:sz w:val="20"/>
                <w:szCs w:val="20"/>
                <w:lang w:val="en-US"/>
              </w:rPr>
            </w:pPr>
            <w:r w:rsidRPr="00250E94">
              <w:rPr>
                <w:rFonts w:eastAsiaTheme="minorHAnsi"/>
                <w:sz w:val="20"/>
                <w:szCs w:val="20"/>
                <w:lang w:val="en-US"/>
              </w:rPr>
              <w:t>4551E, JH048</w:t>
            </w:r>
          </w:p>
        </w:tc>
        <w:tc>
          <w:tcPr>
            <w:tcW w:w="2408" w:type="dxa"/>
            <w:tcBorders>
              <w:top w:val="single" w:sz="4" w:space="0" w:color="000000"/>
              <w:left w:val="single" w:sz="4" w:space="0" w:color="auto"/>
              <w:bottom w:val="single" w:sz="4" w:space="0" w:color="000000"/>
              <w:right w:val="single" w:sz="4" w:space="0" w:color="auto"/>
            </w:tcBorders>
          </w:tcPr>
          <w:p w14:paraId="4CD743DC" w14:textId="77777777" w:rsidR="00E73BD8" w:rsidRPr="00250E94" w:rsidRDefault="00E73BD8" w:rsidP="00B27F75">
            <w:pPr>
              <w:widowControl w:val="0"/>
              <w:spacing w:after="200" w:line="240" w:lineRule="auto"/>
              <w:rPr>
                <w:rFonts w:eastAsiaTheme="minorHAnsi"/>
                <w:sz w:val="20"/>
                <w:szCs w:val="20"/>
                <w:lang w:val="en-US"/>
              </w:rPr>
            </w:pPr>
            <w:r w:rsidRPr="00250E94">
              <w:rPr>
                <w:rFonts w:eastAsiaTheme="minorHAnsi"/>
                <w:sz w:val="20"/>
                <w:szCs w:val="20"/>
                <w:lang w:val="en-US"/>
              </w:rPr>
              <w:t>Southern Palestine</w:t>
            </w:r>
          </w:p>
        </w:tc>
        <w:tc>
          <w:tcPr>
            <w:tcW w:w="2524" w:type="dxa"/>
            <w:tcBorders>
              <w:top w:val="single" w:sz="4" w:space="0" w:color="000000"/>
              <w:left w:val="single" w:sz="4" w:space="0" w:color="auto"/>
              <w:bottom w:val="single" w:sz="4" w:space="0" w:color="000000"/>
              <w:right w:val="single" w:sz="4" w:space="0" w:color="auto"/>
            </w:tcBorders>
          </w:tcPr>
          <w:p w14:paraId="7953216A" w14:textId="77777777" w:rsidR="00E73BD8" w:rsidRPr="00250E94" w:rsidRDefault="00E73BD8" w:rsidP="00B27F75">
            <w:pPr>
              <w:widowControl w:val="0"/>
              <w:spacing w:after="200" w:line="240" w:lineRule="auto"/>
              <w:rPr>
                <w:rFonts w:eastAsiaTheme="minorHAnsi"/>
                <w:sz w:val="20"/>
                <w:szCs w:val="20"/>
                <w:lang w:val="en-US"/>
              </w:rPr>
            </w:pPr>
            <w:r w:rsidRPr="00250E94">
              <w:rPr>
                <w:rFonts w:eastAsiaTheme="minorHAnsi"/>
                <w:sz w:val="20"/>
                <w:szCs w:val="20"/>
                <w:lang w:val="en-US"/>
              </w:rPr>
              <w:t>Not recorded</w:t>
            </w:r>
          </w:p>
        </w:tc>
        <w:tc>
          <w:tcPr>
            <w:tcW w:w="1256" w:type="dxa"/>
            <w:tcBorders>
              <w:top w:val="single" w:sz="4" w:space="0" w:color="000000"/>
              <w:left w:val="single" w:sz="4" w:space="0" w:color="auto"/>
              <w:bottom w:val="single" w:sz="4" w:space="0" w:color="000000"/>
              <w:right w:val="single" w:sz="4" w:space="0" w:color="auto"/>
            </w:tcBorders>
          </w:tcPr>
          <w:p w14:paraId="0535DF31" w14:textId="77777777" w:rsidR="00E73BD8" w:rsidRPr="00250E94" w:rsidRDefault="00E73BD8" w:rsidP="00B27F75">
            <w:pPr>
              <w:widowControl w:val="0"/>
              <w:spacing w:after="200" w:line="240" w:lineRule="auto"/>
              <w:jc w:val="center"/>
              <w:rPr>
                <w:rFonts w:eastAsiaTheme="minorHAnsi"/>
                <w:sz w:val="20"/>
                <w:szCs w:val="20"/>
                <w:lang w:val="en-US"/>
              </w:rPr>
            </w:pPr>
            <w:r w:rsidRPr="00250E94">
              <w:rPr>
                <w:rFonts w:eastAsiaTheme="minorHAnsi"/>
                <w:sz w:val="20"/>
                <w:szCs w:val="20"/>
                <w:lang w:val="en-US"/>
              </w:rPr>
              <w:t>No information</w:t>
            </w:r>
          </w:p>
        </w:tc>
        <w:tc>
          <w:tcPr>
            <w:tcW w:w="3690" w:type="dxa"/>
            <w:tcBorders>
              <w:top w:val="single" w:sz="4" w:space="0" w:color="000000"/>
              <w:left w:val="single" w:sz="4" w:space="0" w:color="auto"/>
              <w:bottom w:val="single" w:sz="4" w:space="0" w:color="000000"/>
              <w:right w:val="single" w:sz="4" w:space="0" w:color="auto"/>
            </w:tcBorders>
          </w:tcPr>
          <w:p w14:paraId="7EBFFBB1" w14:textId="77777777" w:rsidR="00E73BD8" w:rsidRPr="00250E94" w:rsidRDefault="00E73BD8" w:rsidP="00B27F75">
            <w:pPr>
              <w:widowControl w:val="0"/>
              <w:spacing w:after="200" w:line="240" w:lineRule="auto"/>
              <w:rPr>
                <w:rFonts w:eastAsiaTheme="minorHAnsi"/>
                <w:sz w:val="20"/>
                <w:szCs w:val="20"/>
                <w:lang w:val="en-US"/>
              </w:rPr>
            </w:pPr>
            <w:r w:rsidRPr="00250E94">
              <w:rPr>
                <w:rFonts w:eastAsiaTheme="minorHAnsi"/>
                <w:sz w:val="20"/>
                <w:szCs w:val="20"/>
                <w:lang w:val="en-US"/>
              </w:rPr>
              <w:t>Northwestern Negev</w:t>
            </w:r>
          </w:p>
        </w:tc>
        <w:tc>
          <w:tcPr>
            <w:tcW w:w="1530" w:type="dxa"/>
            <w:tcBorders>
              <w:top w:val="single" w:sz="4" w:space="0" w:color="000000"/>
              <w:left w:val="single" w:sz="4" w:space="0" w:color="auto"/>
              <w:bottom w:val="single" w:sz="4" w:space="0" w:color="000000"/>
              <w:right w:val="single" w:sz="4" w:space="0" w:color="auto"/>
            </w:tcBorders>
          </w:tcPr>
          <w:p w14:paraId="2627AB8A" w14:textId="77777777" w:rsidR="00E73BD8" w:rsidRPr="00250E94" w:rsidRDefault="00E73BD8" w:rsidP="00B27F75">
            <w:pPr>
              <w:widowControl w:val="0"/>
              <w:spacing w:after="200" w:line="240" w:lineRule="auto"/>
              <w:jc w:val="center"/>
              <w:rPr>
                <w:rFonts w:eastAsiaTheme="minorHAnsi"/>
                <w:sz w:val="20"/>
                <w:szCs w:val="20"/>
                <w:lang w:val="en-US"/>
              </w:rPr>
            </w:pPr>
            <w:r w:rsidRPr="00250E94">
              <w:rPr>
                <w:rFonts w:eastAsiaTheme="minorHAnsi"/>
                <w:sz w:val="20"/>
                <w:szCs w:val="20"/>
                <w:lang w:val="en-US"/>
              </w:rPr>
              <w:t>+</w:t>
            </w:r>
          </w:p>
        </w:tc>
        <w:tc>
          <w:tcPr>
            <w:tcW w:w="1440" w:type="dxa"/>
            <w:tcBorders>
              <w:top w:val="single" w:sz="4" w:space="0" w:color="000000"/>
              <w:left w:val="single" w:sz="4" w:space="0" w:color="auto"/>
              <w:bottom w:val="single" w:sz="4" w:space="0" w:color="000000"/>
              <w:right w:val="single" w:sz="4" w:space="0" w:color="auto"/>
            </w:tcBorders>
          </w:tcPr>
          <w:p w14:paraId="5AEC98E2" w14:textId="77777777" w:rsidR="00E73BD8" w:rsidRPr="00250E94" w:rsidRDefault="00E73BD8" w:rsidP="00B27F75">
            <w:pPr>
              <w:widowControl w:val="0"/>
              <w:spacing w:after="200" w:line="240" w:lineRule="auto"/>
              <w:jc w:val="center"/>
              <w:rPr>
                <w:rFonts w:eastAsiaTheme="minorHAnsi"/>
                <w:b/>
                <w:sz w:val="20"/>
                <w:szCs w:val="20"/>
                <w:lang w:val="en-US"/>
              </w:rPr>
            </w:pPr>
            <w:r w:rsidRPr="00250E94">
              <w:rPr>
                <w:rFonts w:eastAsiaTheme="minorHAnsi"/>
                <w:b/>
                <w:sz w:val="20"/>
                <w:szCs w:val="20"/>
                <w:lang w:val="en-US"/>
              </w:rPr>
              <w:t>No information</w:t>
            </w:r>
          </w:p>
        </w:tc>
      </w:tr>
      <w:tr w:rsidR="00E73BD8" w:rsidRPr="00250E94" w14:paraId="19D88AE2" w14:textId="77777777" w:rsidTr="00B27F75">
        <w:trPr>
          <w:trHeight w:hRule="exact" w:val="460"/>
        </w:trPr>
        <w:tc>
          <w:tcPr>
            <w:tcW w:w="1633" w:type="dxa"/>
            <w:tcBorders>
              <w:top w:val="single" w:sz="4" w:space="0" w:color="000000"/>
              <w:left w:val="single" w:sz="4" w:space="0" w:color="auto"/>
              <w:bottom w:val="single" w:sz="4" w:space="0" w:color="000000"/>
              <w:right w:val="single" w:sz="4" w:space="0" w:color="auto"/>
            </w:tcBorders>
          </w:tcPr>
          <w:p w14:paraId="65FAB7EE" w14:textId="77777777" w:rsidR="00E73BD8" w:rsidRPr="00250E94" w:rsidRDefault="00E73BD8" w:rsidP="00B27F75">
            <w:pPr>
              <w:widowControl w:val="0"/>
              <w:spacing w:after="200" w:line="240" w:lineRule="auto"/>
              <w:rPr>
                <w:rFonts w:eastAsiaTheme="minorHAnsi"/>
                <w:sz w:val="20"/>
                <w:szCs w:val="20"/>
                <w:lang w:val="en-US"/>
              </w:rPr>
            </w:pPr>
            <w:r w:rsidRPr="00250E94">
              <w:rPr>
                <w:rFonts w:eastAsiaTheme="minorHAnsi"/>
                <w:sz w:val="20"/>
                <w:szCs w:val="20"/>
                <w:lang w:val="en-US"/>
              </w:rPr>
              <w:t>4551F, JH049</w:t>
            </w:r>
          </w:p>
        </w:tc>
        <w:tc>
          <w:tcPr>
            <w:tcW w:w="2408" w:type="dxa"/>
            <w:tcBorders>
              <w:top w:val="single" w:sz="4" w:space="0" w:color="000000"/>
              <w:left w:val="single" w:sz="4" w:space="0" w:color="auto"/>
              <w:bottom w:val="single" w:sz="4" w:space="0" w:color="000000"/>
              <w:right w:val="single" w:sz="4" w:space="0" w:color="auto"/>
            </w:tcBorders>
          </w:tcPr>
          <w:p w14:paraId="5E6F2058" w14:textId="77777777" w:rsidR="00E73BD8" w:rsidRPr="00250E94" w:rsidRDefault="00E73BD8" w:rsidP="00B27F75">
            <w:pPr>
              <w:widowControl w:val="0"/>
              <w:spacing w:after="200" w:line="240" w:lineRule="auto"/>
              <w:rPr>
                <w:rFonts w:eastAsiaTheme="minorHAnsi"/>
                <w:sz w:val="20"/>
                <w:szCs w:val="20"/>
                <w:lang w:val="en-US"/>
              </w:rPr>
            </w:pPr>
            <w:r w:rsidRPr="00250E94">
              <w:rPr>
                <w:rFonts w:eastAsiaTheme="minorHAnsi"/>
                <w:sz w:val="20"/>
                <w:szCs w:val="20"/>
                <w:lang w:val="en-US"/>
              </w:rPr>
              <w:t>? (possibly Southern Palestine)</w:t>
            </w:r>
          </w:p>
        </w:tc>
        <w:tc>
          <w:tcPr>
            <w:tcW w:w="2524" w:type="dxa"/>
            <w:tcBorders>
              <w:top w:val="single" w:sz="4" w:space="0" w:color="000000"/>
              <w:left w:val="single" w:sz="4" w:space="0" w:color="auto"/>
              <w:bottom w:val="single" w:sz="4" w:space="0" w:color="000000"/>
              <w:right w:val="single" w:sz="4" w:space="0" w:color="auto"/>
            </w:tcBorders>
          </w:tcPr>
          <w:p w14:paraId="6838A59C" w14:textId="77777777" w:rsidR="00E73BD8" w:rsidRPr="00250E94" w:rsidRDefault="00E73BD8" w:rsidP="00B27F75">
            <w:pPr>
              <w:widowControl w:val="0"/>
              <w:spacing w:after="200" w:line="240" w:lineRule="auto"/>
              <w:rPr>
                <w:rFonts w:eastAsiaTheme="minorHAnsi"/>
                <w:sz w:val="20"/>
                <w:szCs w:val="20"/>
                <w:lang w:val="en-US"/>
              </w:rPr>
            </w:pPr>
            <w:r w:rsidRPr="00250E94">
              <w:rPr>
                <w:rFonts w:eastAsiaTheme="minorHAnsi"/>
                <w:sz w:val="20"/>
                <w:szCs w:val="20"/>
                <w:lang w:val="en-US"/>
              </w:rPr>
              <w:t>Shephelah (Southern Palestine)</w:t>
            </w:r>
          </w:p>
        </w:tc>
        <w:tc>
          <w:tcPr>
            <w:tcW w:w="1256" w:type="dxa"/>
            <w:tcBorders>
              <w:top w:val="single" w:sz="4" w:space="0" w:color="000000"/>
              <w:left w:val="single" w:sz="4" w:space="0" w:color="auto"/>
              <w:bottom w:val="single" w:sz="4" w:space="0" w:color="000000"/>
              <w:right w:val="single" w:sz="4" w:space="0" w:color="auto"/>
            </w:tcBorders>
          </w:tcPr>
          <w:p w14:paraId="6036431D" w14:textId="77777777" w:rsidR="00E73BD8" w:rsidRPr="00250E94" w:rsidRDefault="00E73BD8" w:rsidP="00B27F75">
            <w:pPr>
              <w:widowControl w:val="0"/>
              <w:spacing w:after="200" w:line="240" w:lineRule="auto"/>
              <w:jc w:val="center"/>
              <w:rPr>
                <w:rFonts w:eastAsiaTheme="minorHAnsi"/>
                <w:sz w:val="20"/>
                <w:szCs w:val="20"/>
                <w:lang w:val="en-US"/>
              </w:rPr>
            </w:pPr>
            <w:r w:rsidRPr="00250E94">
              <w:rPr>
                <w:rFonts w:eastAsiaTheme="minorHAnsi"/>
                <w:sz w:val="20"/>
                <w:szCs w:val="20"/>
                <w:lang w:val="en-US"/>
              </w:rPr>
              <w:t>+</w:t>
            </w:r>
          </w:p>
        </w:tc>
        <w:tc>
          <w:tcPr>
            <w:tcW w:w="3690" w:type="dxa"/>
            <w:tcBorders>
              <w:top w:val="single" w:sz="4" w:space="0" w:color="000000"/>
              <w:left w:val="single" w:sz="4" w:space="0" w:color="auto"/>
              <w:bottom w:val="single" w:sz="4" w:space="0" w:color="000000"/>
              <w:right w:val="single" w:sz="4" w:space="0" w:color="auto"/>
            </w:tcBorders>
          </w:tcPr>
          <w:p w14:paraId="1CB98987" w14:textId="77777777" w:rsidR="00E73BD8" w:rsidRPr="00250E94" w:rsidRDefault="00E73BD8" w:rsidP="00B27F75">
            <w:pPr>
              <w:widowControl w:val="0"/>
              <w:spacing w:after="200" w:line="240" w:lineRule="auto"/>
              <w:rPr>
                <w:rFonts w:eastAsiaTheme="minorHAnsi"/>
                <w:sz w:val="20"/>
                <w:szCs w:val="20"/>
                <w:lang w:val="en-US"/>
              </w:rPr>
            </w:pPr>
            <w:r w:rsidRPr="00250E94">
              <w:rPr>
                <w:rFonts w:eastAsiaTheme="minorHAnsi"/>
                <w:sz w:val="20"/>
                <w:szCs w:val="20"/>
                <w:lang w:val="en-US"/>
              </w:rPr>
              <w:t>Central coast of Israel</w:t>
            </w:r>
          </w:p>
        </w:tc>
        <w:tc>
          <w:tcPr>
            <w:tcW w:w="1530" w:type="dxa"/>
            <w:tcBorders>
              <w:top w:val="single" w:sz="4" w:space="0" w:color="000000"/>
              <w:left w:val="single" w:sz="4" w:space="0" w:color="auto"/>
              <w:bottom w:val="single" w:sz="4" w:space="0" w:color="000000"/>
              <w:right w:val="single" w:sz="4" w:space="0" w:color="auto"/>
            </w:tcBorders>
          </w:tcPr>
          <w:p w14:paraId="14DDB94B" w14:textId="77777777" w:rsidR="00E73BD8" w:rsidRPr="00250E94" w:rsidRDefault="00E73BD8" w:rsidP="00B27F75">
            <w:pPr>
              <w:widowControl w:val="0"/>
              <w:spacing w:after="200" w:line="240" w:lineRule="auto"/>
              <w:jc w:val="center"/>
              <w:rPr>
                <w:rFonts w:eastAsiaTheme="minorHAnsi"/>
                <w:sz w:val="20"/>
                <w:szCs w:val="20"/>
                <w:lang w:val="en-US"/>
              </w:rPr>
            </w:pPr>
            <w:r w:rsidRPr="00250E94">
              <w:rPr>
                <w:rFonts w:eastAsiaTheme="minorHAnsi"/>
                <w:sz w:val="20"/>
                <w:szCs w:val="20"/>
                <w:lang w:val="en-US"/>
              </w:rPr>
              <w:t>? (should be -)</w:t>
            </w:r>
          </w:p>
        </w:tc>
        <w:tc>
          <w:tcPr>
            <w:tcW w:w="1440" w:type="dxa"/>
            <w:tcBorders>
              <w:top w:val="single" w:sz="4" w:space="0" w:color="000000"/>
              <w:left w:val="single" w:sz="4" w:space="0" w:color="auto"/>
              <w:bottom w:val="single" w:sz="4" w:space="0" w:color="000000"/>
              <w:right w:val="single" w:sz="4" w:space="0" w:color="auto"/>
            </w:tcBorders>
          </w:tcPr>
          <w:p w14:paraId="191A1D08" w14:textId="77777777" w:rsidR="00E73BD8" w:rsidRPr="00250E94" w:rsidRDefault="00E73BD8" w:rsidP="00B27F75">
            <w:pPr>
              <w:widowControl w:val="0"/>
              <w:spacing w:after="200" w:line="240" w:lineRule="auto"/>
              <w:jc w:val="center"/>
              <w:rPr>
                <w:rFonts w:eastAsiaTheme="minorHAnsi"/>
                <w:b/>
                <w:sz w:val="20"/>
                <w:szCs w:val="20"/>
                <w:lang w:val="en-US"/>
              </w:rPr>
            </w:pPr>
            <w:r w:rsidRPr="00250E94">
              <w:rPr>
                <w:rFonts w:eastAsiaTheme="minorHAnsi"/>
                <w:b/>
                <w:sz w:val="20"/>
                <w:szCs w:val="20"/>
                <w:lang w:val="en-US"/>
              </w:rPr>
              <w:t>-</w:t>
            </w:r>
          </w:p>
        </w:tc>
      </w:tr>
      <w:tr w:rsidR="00E73BD8" w:rsidRPr="00250E94" w14:paraId="5162F0EF" w14:textId="77777777" w:rsidTr="00B27F75">
        <w:trPr>
          <w:trHeight w:hRule="exact" w:val="541"/>
        </w:trPr>
        <w:tc>
          <w:tcPr>
            <w:tcW w:w="1633" w:type="dxa"/>
            <w:tcBorders>
              <w:top w:val="single" w:sz="4" w:space="0" w:color="000000"/>
              <w:left w:val="single" w:sz="4" w:space="0" w:color="auto"/>
              <w:bottom w:val="single" w:sz="4" w:space="0" w:color="000000"/>
              <w:right w:val="single" w:sz="4" w:space="0" w:color="auto"/>
            </w:tcBorders>
          </w:tcPr>
          <w:p w14:paraId="2354C4D0" w14:textId="77777777" w:rsidR="00E73BD8" w:rsidRPr="00250E94" w:rsidRDefault="00E73BD8" w:rsidP="00B27F75">
            <w:pPr>
              <w:widowControl w:val="0"/>
              <w:spacing w:after="200" w:line="240" w:lineRule="auto"/>
              <w:rPr>
                <w:rFonts w:eastAsiaTheme="minorHAnsi"/>
                <w:sz w:val="20"/>
                <w:szCs w:val="20"/>
                <w:lang w:val="en-US"/>
              </w:rPr>
            </w:pPr>
            <w:r w:rsidRPr="00250E94">
              <w:rPr>
                <w:rFonts w:eastAsiaTheme="minorHAnsi"/>
                <w:sz w:val="20"/>
                <w:szCs w:val="20"/>
                <w:lang w:val="en-US"/>
              </w:rPr>
              <w:t>4551L, JH043</w:t>
            </w:r>
          </w:p>
        </w:tc>
        <w:tc>
          <w:tcPr>
            <w:tcW w:w="2408" w:type="dxa"/>
            <w:tcBorders>
              <w:top w:val="single" w:sz="4" w:space="0" w:color="000000"/>
              <w:left w:val="single" w:sz="4" w:space="0" w:color="auto"/>
              <w:bottom w:val="single" w:sz="4" w:space="0" w:color="000000"/>
              <w:right w:val="single" w:sz="4" w:space="0" w:color="auto"/>
            </w:tcBorders>
          </w:tcPr>
          <w:p w14:paraId="060F28B2" w14:textId="77777777" w:rsidR="00E73BD8" w:rsidRPr="00250E94" w:rsidRDefault="00E73BD8" w:rsidP="00B27F75">
            <w:pPr>
              <w:widowControl w:val="0"/>
              <w:spacing w:after="200" w:line="240" w:lineRule="auto"/>
              <w:rPr>
                <w:rFonts w:eastAsiaTheme="minorHAnsi"/>
                <w:sz w:val="20"/>
                <w:szCs w:val="20"/>
                <w:lang w:val="en-US"/>
              </w:rPr>
            </w:pPr>
            <w:r w:rsidRPr="00250E94">
              <w:rPr>
                <w:rFonts w:eastAsiaTheme="minorHAnsi"/>
                <w:sz w:val="20"/>
                <w:szCs w:val="20"/>
                <w:lang w:val="en-US"/>
              </w:rPr>
              <w:t>Southern Palestine</w:t>
            </w:r>
          </w:p>
        </w:tc>
        <w:tc>
          <w:tcPr>
            <w:tcW w:w="2524" w:type="dxa"/>
            <w:tcBorders>
              <w:top w:val="single" w:sz="4" w:space="0" w:color="000000"/>
              <w:left w:val="single" w:sz="4" w:space="0" w:color="auto"/>
              <w:bottom w:val="single" w:sz="4" w:space="0" w:color="000000"/>
              <w:right w:val="single" w:sz="4" w:space="0" w:color="auto"/>
            </w:tcBorders>
          </w:tcPr>
          <w:p w14:paraId="0E98F2EF" w14:textId="77777777" w:rsidR="00E73BD8" w:rsidRPr="00250E94" w:rsidRDefault="00E73BD8" w:rsidP="00B27F75">
            <w:pPr>
              <w:widowControl w:val="0"/>
              <w:spacing w:after="200" w:line="240" w:lineRule="auto"/>
              <w:rPr>
                <w:rFonts w:eastAsiaTheme="minorHAnsi"/>
                <w:sz w:val="20"/>
                <w:szCs w:val="20"/>
                <w:lang w:val="en-US"/>
              </w:rPr>
            </w:pPr>
            <w:r w:rsidRPr="00250E94">
              <w:rPr>
                <w:rFonts w:eastAsiaTheme="minorHAnsi"/>
                <w:sz w:val="20"/>
                <w:szCs w:val="20"/>
                <w:lang w:val="en-US"/>
              </w:rPr>
              <w:t>Shephelah (Southern Palestine)</w:t>
            </w:r>
          </w:p>
        </w:tc>
        <w:tc>
          <w:tcPr>
            <w:tcW w:w="1256" w:type="dxa"/>
            <w:tcBorders>
              <w:top w:val="single" w:sz="4" w:space="0" w:color="000000"/>
              <w:left w:val="single" w:sz="4" w:space="0" w:color="auto"/>
              <w:bottom w:val="single" w:sz="4" w:space="0" w:color="000000"/>
              <w:right w:val="single" w:sz="4" w:space="0" w:color="auto"/>
            </w:tcBorders>
          </w:tcPr>
          <w:p w14:paraId="1CAC6C21" w14:textId="77777777" w:rsidR="00E73BD8" w:rsidRPr="00250E94" w:rsidRDefault="00E73BD8" w:rsidP="00B27F75">
            <w:pPr>
              <w:widowControl w:val="0"/>
              <w:spacing w:after="200" w:line="240" w:lineRule="auto"/>
              <w:jc w:val="center"/>
              <w:rPr>
                <w:rFonts w:eastAsiaTheme="minorHAnsi"/>
                <w:sz w:val="20"/>
                <w:szCs w:val="20"/>
                <w:lang w:val="en-US"/>
              </w:rPr>
            </w:pPr>
            <w:r w:rsidRPr="00250E94">
              <w:rPr>
                <w:rFonts w:eastAsiaTheme="minorHAnsi"/>
                <w:sz w:val="20"/>
                <w:szCs w:val="20"/>
                <w:lang w:val="en-US"/>
              </w:rPr>
              <w:t>+</w:t>
            </w:r>
          </w:p>
        </w:tc>
        <w:tc>
          <w:tcPr>
            <w:tcW w:w="3690" w:type="dxa"/>
            <w:tcBorders>
              <w:top w:val="single" w:sz="4" w:space="0" w:color="000000"/>
              <w:left w:val="single" w:sz="4" w:space="0" w:color="auto"/>
              <w:bottom w:val="single" w:sz="4" w:space="0" w:color="000000"/>
              <w:right w:val="single" w:sz="4" w:space="0" w:color="auto"/>
            </w:tcBorders>
          </w:tcPr>
          <w:p w14:paraId="1DBCF566" w14:textId="77777777" w:rsidR="00E73BD8" w:rsidRPr="00250E94" w:rsidRDefault="00E73BD8" w:rsidP="00B27F75">
            <w:pPr>
              <w:widowControl w:val="0"/>
              <w:spacing w:after="200" w:line="240" w:lineRule="auto"/>
              <w:rPr>
                <w:rFonts w:eastAsiaTheme="minorHAnsi"/>
                <w:sz w:val="20"/>
                <w:szCs w:val="20"/>
                <w:lang w:val="en-US"/>
              </w:rPr>
            </w:pPr>
            <w:r w:rsidRPr="00250E94">
              <w:rPr>
                <w:rFonts w:eastAsiaTheme="minorHAnsi"/>
                <w:sz w:val="20"/>
                <w:szCs w:val="20"/>
                <w:lang w:val="en-US"/>
              </w:rPr>
              <w:t>Northernmost Israel or the Lebanese coast</w:t>
            </w:r>
          </w:p>
        </w:tc>
        <w:tc>
          <w:tcPr>
            <w:tcW w:w="1530" w:type="dxa"/>
            <w:tcBorders>
              <w:top w:val="single" w:sz="4" w:space="0" w:color="000000"/>
              <w:left w:val="single" w:sz="4" w:space="0" w:color="auto"/>
              <w:bottom w:val="single" w:sz="4" w:space="0" w:color="000000"/>
              <w:right w:val="single" w:sz="4" w:space="0" w:color="auto"/>
            </w:tcBorders>
          </w:tcPr>
          <w:p w14:paraId="751F0180" w14:textId="77777777" w:rsidR="00E73BD8" w:rsidRPr="00250E94" w:rsidRDefault="00E73BD8" w:rsidP="00B27F75">
            <w:pPr>
              <w:widowControl w:val="0"/>
              <w:spacing w:after="200" w:line="240" w:lineRule="auto"/>
              <w:jc w:val="center"/>
              <w:rPr>
                <w:rFonts w:eastAsiaTheme="minorHAnsi"/>
                <w:sz w:val="20"/>
                <w:szCs w:val="20"/>
                <w:lang w:val="en-US"/>
              </w:rPr>
            </w:pPr>
            <w:r w:rsidRPr="00250E94">
              <w:rPr>
                <w:rFonts w:eastAsiaTheme="minorHAnsi"/>
                <w:sz w:val="20"/>
                <w:szCs w:val="20"/>
                <w:lang w:val="en-US"/>
              </w:rPr>
              <w:t>-</w:t>
            </w:r>
          </w:p>
        </w:tc>
        <w:tc>
          <w:tcPr>
            <w:tcW w:w="1440" w:type="dxa"/>
            <w:tcBorders>
              <w:top w:val="single" w:sz="4" w:space="0" w:color="000000"/>
              <w:left w:val="single" w:sz="4" w:space="0" w:color="auto"/>
              <w:bottom w:val="single" w:sz="4" w:space="0" w:color="000000"/>
              <w:right w:val="single" w:sz="4" w:space="0" w:color="auto"/>
            </w:tcBorders>
          </w:tcPr>
          <w:p w14:paraId="41897539" w14:textId="77777777" w:rsidR="00E73BD8" w:rsidRPr="00250E94" w:rsidRDefault="00E73BD8" w:rsidP="00B27F75">
            <w:pPr>
              <w:widowControl w:val="0"/>
              <w:spacing w:after="200" w:line="240" w:lineRule="auto"/>
              <w:jc w:val="center"/>
              <w:rPr>
                <w:rFonts w:eastAsiaTheme="minorHAnsi"/>
                <w:b/>
                <w:sz w:val="20"/>
                <w:szCs w:val="20"/>
                <w:lang w:val="en-US"/>
              </w:rPr>
            </w:pPr>
            <w:r w:rsidRPr="00250E94">
              <w:rPr>
                <w:rFonts w:eastAsiaTheme="minorHAnsi"/>
                <w:b/>
                <w:sz w:val="20"/>
                <w:szCs w:val="20"/>
                <w:lang w:val="en-US"/>
              </w:rPr>
              <w:t>-</w:t>
            </w:r>
          </w:p>
        </w:tc>
      </w:tr>
      <w:tr w:rsidR="00E73BD8" w:rsidRPr="00250E94" w14:paraId="47BFB2BE" w14:textId="77777777" w:rsidTr="00B27F75">
        <w:trPr>
          <w:trHeight w:hRule="exact" w:val="451"/>
        </w:trPr>
        <w:tc>
          <w:tcPr>
            <w:tcW w:w="1633" w:type="dxa"/>
            <w:tcBorders>
              <w:top w:val="single" w:sz="4" w:space="0" w:color="000000"/>
              <w:left w:val="single" w:sz="4" w:space="0" w:color="auto"/>
              <w:bottom w:val="single" w:sz="4" w:space="0" w:color="000000"/>
              <w:right w:val="single" w:sz="4" w:space="0" w:color="auto"/>
            </w:tcBorders>
          </w:tcPr>
          <w:p w14:paraId="5BC1E9DF" w14:textId="77777777" w:rsidR="00E73BD8" w:rsidRPr="00250E94" w:rsidRDefault="00E73BD8" w:rsidP="00B27F75">
            <w:pPr>
              <w:widowControl w:val="0"/>
              <w:spacing w:after="200" w:line="240" w:lineRule="auto"/>
              <w:rPr>
                <w:rFonts w:eastAsiaTheme="minorHAnsi"/>
                <w:sz w:val="20"/>
                <w:szCs w:val="20"/>
                <w:lang w:val="en-US"/>
              </w:rPr>
            </w:pPr>
            <w:r w:rsidRPr="00250E94">
              <w:rPr>
                <w:rFonts w:eastAsiaTheme="minorHAnsi"/>
                <w:sz w:val="20"/>
                <w:szCs w:val="20"/>
                <w:lang w:val="en-US"/>
              </w:rPr>
              <w:t>4552E, JH079</w:t>
            </w:r>
          </w:p>
        </w:tc>
        <w:tc>
          <w:tcPr>
            <w:tcW w:w="2408" w:type="dxa"/>
            <w:tcBorders>
              <w:top w:val="single" w:sz="4" w:space="0" w:color="000000"/>
              <w:left w:val="single" w:sz="4" w:space="0" w:color="auto"/>
              <w:bottom w:val="single" w:sz="4" w:space="0" w:color="000000"/>
              <w:right w:val="single" w:sz="4" w:space="0" w:color="auto"/>
            </w:tcBorders>
          </w:tcPr>
          <w:p w14:paraId="3936032D" w14:textId="77777777" w:rsidR="00E73BD8" w:rsidRPr="00250E94" w:rsidRDefault="00E73BD8" w:rsidP="00B27F75">
            <w:pPr>
              <w:widowControl w:val="0"/>
              <w:spacing w:after="200" w:line="240" w:lineRule="auto"/>
              <w:rPr>
                <w:rFonts w:eastAsiaTheme="minorHAnsi"/>
                <w:sz w:val="20"/>
                <w:szCs w:val="20"/>
                <w:lang w:val="en-US"/>
              </w:rPr>
            </w:pPr>
            <w:r w:rsidRPr="00250E94">
              <w:rPr>
                <w:rFonts w:eastAsiaTheme="minorHAnsi"/>
                <w:sz w:val="20"/>
                <w:szCs w:val="20"/>
                <w:lang w:val="en-US"/>
              </w:rPr>
              <w:t>? (possibly Southern Palestine)</w:t>
            </w:r>
          </w:p>
        </w:tc>
        <w:tc>
          <w:tcPr>
            <w:tcW w:w="2524" w:type="dxa"/>
            <w:tcBorders>
              <w:top w:val="single" w:sz="4" w:space="0" w:color="000000"/>
              <w:left w:val="single" w:sz="4" w:space="0" w:color="auto"/>
              <w:bottom w:val="single" w:sz="4" w:space="0" w:color="000000"/>
              <w:right w:val="single" w:sz="4" w:space="0" w:color="auto"/>
            </w:tcBorders>
          </w:tcPr>
          <w:p w14:paraId="6824B627" w14:textId="77777777" w:rsidR="00E73BD8" w:rsidRPr="00250E94" w:rsidRDefault="00E73BD8" w:rsidP="00B27F75">
            <w:pPr>
              <w:widowControl w:val="0"/>
              <w:spacing w:after="200" w:line="240" w:lineRule="auto"/>
              <w:rPr>
                <w:rFonts w:eastAsiaTheme="minorHAnsi"/>
                <w:sz w:val="20"/>
                <w:szCs w:val="20"/>
                <w:lang w:val="en-US"/>
              </w:rPr>
            </w:pPr>
            <w:r w:rsidRPr="00250E94">
              <w:rPr>
                <w:rFonts w:eastAsiaTheme="minorHAnsi"/>
                <w:sz w:val="20"/>
                <w:szCs w:val="20"/>
                <w:lang w:val="en-US"/>
              </w:rPr>
              <w:t>Shephelah (Southern Palestine)</w:t>
            </w:r>
          </w:p>
        </w:tc>
        <w:tc>
          <w:tcPr>
            <w:tcW w:w="1256" w:type="dxa"/>
            <w:tcBorders>
              <w:top w:val="single" w:sz="4" w:space="0" w:color="000000"/>
              <w:left w:val="single" w:sz="4" w:space="0" w:color="auto"/>
              <w:bottom w:val="single" w:sz="4" w:space="0" w:color="000000"/>
              <w:right w:val="single" w:sz="4" w:space="0" w:color="auto"/>
            </w:tcBorders>
          </w:tcPr>
          <w:p w14:paraId="636CEA15" w14:textId="77777777" w:rsidR="00E73BD8" w:rsidRPr="00250E94" w:rsidRDefault="00E73BD8" w:rsidP="00B27F75">
            <w:pPr>
              <w:widowControl w:val="0"/>
              <w:spacing w:after="200" w:line="240" w:lineRule="auto"/>
              <w:jc w:val="center"/>
              <w:rPr>
                <w:rFonts w:eastAsiaTheme="minorHAnsi"/>
                <w:sz w:val="20"/>
                <w:szCs w:val="20"/>
                <w:lang w:val="en-US"/>
              </w:rPr>
            </w:pPr>
            <w:r w:rsidRPr="00250E94">
              <w:rPr>
                <w:rFonts w:eastAsiaTheme="minorHAnsi"/>
                <w:sz w:val="20"/>
                <w:szCs w:val="20"/>
                <w:lang w:val="en-US"/>
              </w:rPr>
              <w:t>+</w:t>
            </w:r>
          </w:p>
        </w:tc>
        <w:tc>
          <w:tcPr>
            <w:tcW w:w="3690" w:type="dxa"/>
            <w:tcBorders>
              <w:top w:val="single" w:sz="4" w:space="0" w:color="000000"/>
              <w:left w:val="single" w:sz="4" w:space="0" w:color="auto"/>
              <w:bottom w:val="single" w:sz="4" w:space="0" w:color="000000"/>
              <w:right w:val="single" w:sz="4" w:space="0" w:color="auto"/>
            </w:tcBorders>
          </w:tcPr>
          <w:p w14:paraId="645D0164" w14:textId="77777777" w:rsidR="00E73BD8" w:rsidRPr="00250E94" w:rsidRDefault="00E73BD8" w:rsidP="00B27F75">
            <w:pPr>
              <w:widowControl w:val="0"/>
              <w:spacing w:after="200" w:line="240" w:lineRule="auto"/>
              <w:rPr>
                <w:rFonts w:eastAsiaTheme="minorHAnsi"/>
                <w:sz w:val="20"/>
                <w:szCs w:val="20"/>
                <w:lang w:val="en-US"/>
              </w:rPr>
            </w:pPr>
            <w:r w:rsidRPr="00250E94">
              <w:rPr>
                <w:rFonts w:eastAsiaTheme="minorHAnsi"/>
                <w:sz w:val="20"/>
                <w:szCs w:val="20"/>
                <w:lang w:val="en-US"/>
              </w:rPr>
              <w:t>Northernmost Israel coast or the Lebanese coast</w:t>
            </w:r>
          </w:p>
        </w:tc>
        <w:tc>
          <w:tcPr>
            <w:tcW w:w="1530" w:type="dxa"/>
            <w:tcBorders>
              <w:top w:val="single" w:sz="4" w:space="0" w:color="000000"/>
              <w:left w:val="single" w:sz="4" w:space="0" w:color="auto"/>
              <w:bottom w:val="single" w:sz="4" w:space="0" w:color="000000"/>
              <w:right w:val="single" w:sz="4" w:space="0" w:color="auto"/>
            </w:tcBorders>
          </w:tcPr>
          <w:p w14:paraId="5F0B4A65" w14:textId="77777777" w:rsidR="00E73BD8" w:rsidRPr="00250E94" w:rsidRDefault="00E73BD8" w:rsidP="00B27F75">
            <w:pPr>
              <w:widowControl w:val="0"/>
              <w:spacing w:after="200" w:line="240" w:lineRule="auto"/>
              <w:jc w:val="center"/>
              <w:rPr>
                <w:rFonts w:eastAsiaTheme="minorHAnsi"/>
                <w:sz w:val="20"/>
                <w:szCs w:val="20"/>
                <w:lang w:val="en-US"/>
              </w:rPr>
            </w:pPr>
            <w:r w:rsidRPr="00250E94">
              <w:rPr>
                <w:rFonts w:eastAsiaTheme="minorHAnsi"/>
                <w:sz w:val="20"/>
                <w:szCs w:val="20"/>
                <w:lang w:val="en-US"/>
              </w:rPr>
              <w:t>-</w:t>
            </w:r>
          </w:p>
        </w:tc>
        <w:tc>
          <w:tcPr>
            <w:tcW w:w="1440" w:type="dxa"/>
            <w:tcBorders>
              <w:top w:val="single" w:sz="4" w:space="0" w:color="000000"/>
              <w:left w:val="single" w:sz="4" w:space="0" w:color="auto"/>
              <w:bottom w:val="single" w:sz="4" w:space="0" w:color="000000"/>
              <w:right w:val="single" w:sz="4" w:space="0" w:color="auto"/>
            </w:tcBorders>
          </w:tcPr>
          <w:p w14:paraId="4F31E234" w14:textId="77777777" w:rsidR="00E73BD8" w:rsidRPr="00250E94" w:rsidRDefault="00E73BD8" w:rsidP="00B27F75">
            <w:pPr>
              <w:widowControl w:val="0"/>
              <w:spacing w:after="200" w:line="240" w:lineRule="auto"/>
              <w:jc w:val="center"/>
              <w:rPr>
                <w:rFonts w:eastAsiaTheme="minorHAnsi"/>
                <w:b/>
                <w:sz w:val="20"/>
                <w:szCs w:val="20"/>
                <w:lang w:val="en-US"/>
              </w:rPr>
            </w:pPr>
            <w:r w:rsidRPr="00250E94">
              <w:rPr>
                <w:rFonts w:eastAsiaTheme="minorHAnsi"/>
                <w:b/>
                <w:sz w:val="20"/>
                <w:szCs w:val="20"/>
                <w:lang w:val="en-US"/>
              </w:rPr>
              <w:t>-</w:t>
            </w:r>
          </w:p>
        </w:tc>
      </w:tr>
      <w:tr w:rsidR="00E73BD8" w:rsidRPr="00250E94" w14:paraId="02187A58" w14:textId="77777777" w:rsidTr="00B27F75">
        <w:trPr>
          <w:trHeight w:hRule="exact" w:val="451"/>
        </w:trPr>
        <w:tc>
          <w:tcPr>
            <w:tcW w:w="1633" w:type="dxa"/>
            <w:tcBorders>
              <w:top w:val="single" w:sz="4" w:space="0" w:color="000000"/>
              <w:left w:val="single" w:sz="4" w:space="0" w:color="auto"/>
              <w:bottom w:val="single" w:sz="4" w:space="0" w:color="000000"/>
              <w:right w:val="single" w:sz="4" w:space="0" w:color="auto"/>
            </w:tcBorders>
          </w:tcPr>
          <w:p w14:paraId="2038F24D" w14:textId="77777777" w:rsidR="00E73BD8" w:rsidRPr="00250E94" w:rsidRDefault="00E73BD8" w:rsidP="00B27F75">
            <w:pPr>
              <w:widowControl w:val="0"/>
              <w:spacing w:after="200" w:line="240" w:lineRule="auto"/>
              <w:rPr>
                <w:rFonts w:eastAsiaTheme="minorHAnsi"/>
                <w:sz w:val="20"/>
                <w:szCs w:val="20"/>
                <w:lang w:val="en-US"/>
              </w:rPr>
            </w:pPr>
            <w:r w:rsidRPr="00250E94">
              <w:rPr>
                <w:rFonts w:eastAsiaTheme="minorHAnsi"/>
                <w:sz w:val="20"/>
                <w:szCs w:val="20"/>
                <w:lang w:val="en-US"/>
              </w:rPr>
              <w:t>4553A, JH095</w:t>
            </w:r>
          </w:p>
        </w:tc>
        <w:tc>
          <w:tcPr>
            <w:tcW w:w="2408" w:type="dxa"/>
            <w:tcBorders>
              <w:top w:val="single" w:sz="4" w:space="0" w:color="000000"/>
              <w:left w:val="single" w:sz="4" w:space="0" w:color="auto"/>
              <w:bottom w:val="single" w:sz="4" w:space="0" w:color="000000"/>
              <w:right w:val="single" w:sz="4" w:space="0" w:color="auto"/>
            </w:tcBorders>
          </w:tcPr>
          <w:p w14:paraId="43B42E31" w14:textId="77777777" w:rsidR="00E73BD8" w:rsidRPr="00250E94" w:rsidRDefault="00E73BD8" w:rsidP="00B27F75">
            <w:pPr>
              <w:widowControl w:val="0"/>
              <w:spacing w:after="200" w:line="240" w:lineRule="auto"/>
              <w:rPr>
                <w:rFonts w:eastAsiaTheme="minorHAnsi"/>
                <w:sz w:val="20"/>
                <w:szCs w:val="20"/>
                <w:lang w:val="en-US"/>
              </w:rPr>
            </w:pPr>
            <w:r w:rsidRPr="00250E94">
              <w:rPr>
                <w:rFonts w:eastAsiaTheme="minorHAnsi"/>
                <w:sz w:val="20"/>
                <w:szCs w:val="20"/>
                <w:lang w:val="en-US"/>
              </w:rPr>
              <w:t>? (possibly Southern Palestine)</w:t>
            </w:r>
          </w:p>
        </w:tc>
        <w:tc>
          <w:tcPr>
            <w:tcW w:w="2524" w:type="dxa"/>
            <w:tcBorders>
              <w:top w:val="single" w:sz="4" w:space="0" w:color="000000"/>
              <w:left w:val="single" w:sz="4" w:space="0" w:color="auto"/>
              <w:bottom w:val="single" w:sz="4" w:space="0" w:color="000000"/>
              <w:right w:val="single" w:sz="4" w:space="0" w:color="auto"/>
            </w:tcBorders>
          </w:tcPr>
          <w:p w14:paraId="725CECCF" w14:textId="77777777" w:rsidR="00E73BD8" w:rsidRPr="00250E94" w:rsidRDefault="00E73BD8" w:rsidP="00B27F75">
            <w:pPr>
              <w:widowControl w:val="0"/>
              <w:spacing w:after="200" w:line="240" w:lineRule="auto"/>
              <w:rPr>
                <w:rFonts w:eastAsiaTheme="minorHAnsi"/>
                <w:sz w:val="20"/>
                <w:szCs w:val="20"/>
                <w:lang w:val="en-US"/>
              </w:rPr>
            </w:pPr>
            <w:r w:rsidRPr="00250E94">
              <w:rPr>
                <w:rFonts w:eastAsiaTheme="minorHAnsi"/>
                <w:sz w:val="20"/>
                <w:szCs w:val="20"/>
                <w:lang w:val="en-US"/>
              </w:rPr>
              <w:t>Shephelah (Southern Palestine)</w:t>
            </w:r>
          </w:p>
        </w:tc>
        <w:tc>
          <w:tcPr>
            <w:tcW w:w="1256" w:type="dxa"/>
            <w:tcBorders>
              <w:top w:val="single" w:sz="4" w:space="0" w:color="000000"/>
              <w:left w:val="single" w:sz="4" w:space="0" w:color="auto"/>
              <w:bottom w:val="single" w:sz="4" w:space="0" w:color="000000"/>
              <w:right w:val="single" w:sz="4" w:space="0" w:color="auto"/>
            </w:tcBorders>
          </w:tcPr>
          <w:p w14:paraId="71F5A753" w14:textId="77777777" w:rsidR="00E73BD8" w:rsidRPr="00250E94" w:rsidRDefault="00E73BD8" w:rsidP="00B27F75">
            <w:pPr>
              <w:widowControl w:val="0"/>
              <w:spacing w:after="200" w:line="240" w:lineRule="auto"/>
              <w:jc w:val="center"/>
              <w:rPr>
                <w:rFonts w:eastAsiaTheme="minorHAnsi"/>
                <w:sz w:val="20"/>
                <w:szCs w:val="20"/>
                <w:lang w:val="en-US"/>
              </w:rPr>
            </w:pPr>
            <w:r w:rsidRPr="00250E94">
              <w:rPr>
                <w:rFonts w:eastAsiaTheme="minorHAnsi"/>
                <w:sz w:val="20"/>
                <w:szCs w:val="20"/>
                <w:lang w:val="en-US"/>
              </w:rPr>
              <w:t>+</w:t>
            </w:r>
          </w:p>
        </w:tc>
        <w:tc>
          <w:tcPr>
            <w:tcW w:w="3690" w:type="dxa"/>
            <w:tcBorders>
              <w:top w:val="single" w:sz="4" w:space="0" w:color="000000"/>
              <w:left w:val="single" w:sz="4" w:space="0" w:color="auto"/>
              <w:bottom w:val="single" w:sz="4" w:space="0" w:color="000000"/>
              <w:right w:val="single" w:sz="4" w:space="0" w:color="auto"/>
            </w:tcBorders>
          </w:tcPr>
          <w:p w14:paraId="78210B2B" w14:textId="77777777" w:rsidR="00E73BD8" w:rsidRPr="00250E94" w:rsidRDefault="00E73BD8" w:rsidP="00B27F75">
            <w:pPr>
              <w:widowControl w:val="0"/>
              <w:spacing w:after="200" w:line="240" w:lineRule="auto"/>
              <w:rPr>
                <w:rFonts w:eastAsiaTheme="minorHAnsi"/>
                <w:sz w:val="20"/>
                <w:szCs w:val="20"/>
                <w:lang w:val="en-US"/>
              </w:rPr>
            </w:pPr>
            <w:r w:rsidRPr="00250E94">
              <w:rPr>
                <w:rFonts w:eastAsiaTheme="minorHAnsi"/>
                <w:sz w:val="20"/>
                <w:szCs w:val="20"/>
                <w:lang w:val="en-US"/>
              </w:rPr>
              <w:t>Northernmost Israel coast or the Lebanese coast</w:t>
            </w:r>
          </w:p>
        </w:tc>
        <w:tc>
          <w:tcPr>
            <w:tcW w:w="1530" w:type="dxa"/>
            <w:tcBorders>
              <w:top w:val="single" w:sz="4" w:space="0" w:color="000000"/>
              <w:left w:val="single" w:sz="4" w:space="0" w:color="auto"/>
              <w:bottom w:val="single" w:sz="4" w:space="0" w:color="000000"/>
              <w:right w:val="single" w:sz="4" w:space="0" w:color="auto"/>
            </w:tcBorders>
          </w:tcPr>
          <w:p w14:paraId="26B65FBE" w14:textId="77777777" w:rsidR="00E73BD8" w:rsidRPr="00250E94" w:rsidRDefault="00E73BD8" w:rsidP="00B27F75">
            <w:pPr>
              <w:widowControl w:val="0"/>
              <w:spacing w:after="200" w:line="240" w:lineRule="auto"/>
              <w:jc w:val="center"/>
              <w:rPr>
                <w:rFonts w:eastAsiaTheme="minorHAnsi"/>
                <w:sz w:val="20"/>
                <w:szCs w:val="20"/>
                <w:lang w:val="en-US"/>
              </w:rPr>
            </w:pPr>
            <w:r w:rsidRPr="00250E94">
              <w:rPr>
                <w:rFonts w:eastAsiaTheme="minorHAnsi"/>
                <w:sz w:val="20"/>
                <w:szCs w:val="20"/>
                <w:lang w:val="en-US"/>
              </w:rPr>
              <w:t>-</w:t>
            </w:r>
          </w:p>
        </w:tc>
        <w:tc>
          <w:tcPr>
            <w:tcW w:w="1440" w:type="dxa"/>
            <w:tcBorders>
              <w:top w:val="single" w:sz="4" w:space="0" w:color="000000"/>
              <w:left w:val="single" w:sz="4" w:space="0" w:color="auto"/>
              <w:bottom w:val="single" w:sz="4" w:space="0" w:color="000000"/>
              <w:right w:val="single" w:sz="4" w:space="0" w:color="auto"/>
            </w:tcBorders>
          </w:tcPr>
          <w:p w14:paraId="3D83BDE3" w14:textId="77777777" w:rsidR="00E73BD8" w:rsidRPr="00250E94" w:rsidRDefault="00E73BD8" w:rsidP="00B27F75">
            <w:pPr>
              <w:widowControl w:val="0"/>
              <w:spacing w:after="200" w:line="240" w:lineRule="auto"/>
              <w:jc w:val="center"/>
              <w:rPr>
                <w:rFonts w:eastAsiaTheme="minorHAnsi"/>
                <w:b/>
                <w:sz w:val="20"/>
                <w:szCs w:val="20"/>
                <w:lang w:val="en-US"/>
              </w:rPr>
            </w:pPr>
            <w:r w:rsidRPr="00250E94">
              <w:rPr>
                <w:rFonts w:eastAsiaTheme="minorHAnsi"/>
                <w:b/>
                <w:sz w:val="20"/>
                <w:szCs w:val="20"/>
                <w:lang w:val="en-US"/>
              </w:rPr>
              <w:t>-</w:t>
            </w:r>
          </w:p>
        </w:tc>
      </w:tr>
      <w:tr w:rsidR="00E73BD8" w:rsidRPr="00250E94" w14:paraId="3BA60ABB" w14:textId="77777777" w:rsidTr="00B27F75">
        <w:trPr>
          <w:trHeight w:hRule="exact" w:val="451"/>
        </w:trPr>
        <w:tc>
          <w:tcPr>
            <w:tcW w:w="1633" w:type="dxa"/>
            <w:tcBorders>
              <w:top w:val="single" w:sz="4" w:space="0" w:color="000000"/>
              <w:left w:val="single" w:sz="4" w:space="0" w:color="auto"/>
              <w:bottom w:val="single" w:sz="4" w:space="0" w:color="000000"/>
              <w:right w:val="single" w:sz="4" w:space="0" w:color="auto"/>
            </w:tcBorders>
          </w:tcPr>
          <w:p w14:paraId="001A4363" w14:textId="77777777" w:rsidR="00E73BD8" w:rsidRPr="00250E94" w:rsidRDefault="00E73BD8" w:rsidP="00B27F75">
            <w:pPr>
              <w:widowControl w:val="0"/>
              <w:spacing w:after="200" w:line="240" w:lineRule="auto"/>
              <w:rPr>
                <w:rFonts w:eastAsiaTheme="minorHAnsi"/>
                <w:sz w:val="20"/>
                <w:szCs w:val="20"/>
                <w:lang w:val="en-US"/>
              </w:rPr>
            </w:pPr>
            <w:r w:rsidRPr="00250E94">
              <w:rPr>
                <w:rFonts w:eastAsiaTheme="minorHAnsi"/>
                <w:sz w:val="20"/>
                <w:szCs w:val="20"/>
                <w:lang w:val="en-US"/>
              </w:rPr>
              <w:t>4630A, JH109</w:t>
            </w:r>
          </w:p>
        </w:tc>
        <w:tc>
          <w:tcPr>
            <w:tcW w:w="2408" w:type="dxa"/>
            <w:tcBorders>
              <w:top w:val="single" w:sz="4" w:space="0" w:color="000000"/>
              <w:left w:val="single" w:sz="4" w:space="0" w:color="auto"/>
              <w:bottom w:val="single" w:sz="4" w:space="0" w:color="000000"/>
              <w:right w:val="single" w:sz="4" w:space="0" w:color="auto"/>
            </w:tcBorders>
          </w:tcPr>
          <w:p w14:paraId="0A97D00A" w14:textId="77777777" w:rsidR="00E73BD8" w:rsidRPr="00250E94" w:rsidRDefault="00E73BD8" w:rsidP="00B27F75">
            <w:pPr>
              <w:widowControl w:val="0"/>
              <w:spacing w:after="200" w:line="240" w:lineRule="auto"/>
              <w:rPr>
                <w:rFonts w:eastAsiaTheme="minorHAnsi"/>
                <w:sz w:val="20"/>
                <w:szCs w:val="20"/>
                <w:lang w:val="en-US"/>
              </w:rPr>
            </w:pPr>
            <w:r w:rsidRPr="00250E94">
              <w:rPr>
                <w:rFonts w:eastAsiaTheme="minorHAnsi"/>
                <w:sz w:val="20"/>
                <w:szCs w:val="20"/>
                <w:lang w:val="en-US"/>
              </w:rPr>
              <w:t>Most similar to Southern Palestine</w:t>
            </w:r>
          </w:p>
        </w:tc>
        <w:tc>
          <w:tcPr>
            <w:tcW w:w="2524" w:type="dxa"/>
            <w:tcBorders>
              <w:top w:val="single" w:sz="4" w:space="0" w:color="000000"/>
              <w:left w:val="single" w:sz="4" w:space="0" w:color="auto"/>
              <w:bottom w:val="single" w:sz="4" w:space="0" w:color="000000"/>
              <w:right w:val="single" w:sz="4" w:space="0" w:color="auto"/>
            </w:tcBorders>
          </w:tcPr>
          <w:p w14:paraId="7D14B40A" w14:textId="77777777" w:rsidR="00E73BD8" w:rsidRPr="00250E94" w:rsidRDefault="00E73BD8" w:rsidP="00B27F75">
            <w:pPr>
              <w:widowControl w:val="0"/>
              <w:spacing w:after="200" w:line="240" w:lineRule="auto"/>
              <w:rPr>
                <w:rFonts w:eastAsiaTheme="minorHAnsi"/>
                <w:sz w:val="20"/>
                <w:szCs w:val="20"/>
                <w:lang w:val="en-US"/>
              </w:rPr>
            </w:pPr>
            <w:r w:rsidRPr="00250E94">
              <w:rPr>
                <w:rFonts w:eastAsiaTheme="minorHAnsi"/>
                <w:sz w:val="20"/>
                <w:szCs w:val="20"/>
                <w:lang w:val="en-US"/>
              </w:rPr>
              <w:t>Shephelah (Southern Palestine)</w:t>
            </w:r>
          </w:p>
        </w:tc>
        <w:tc>
          <w:tcPr>
            <w:tcW w:w="1256" w:type="dxa"/>
            <w:tcBorders>
              <w:top w:val="single" w:sz="4" w:space="0" w:color="000000"/>
              <w:left w:val="single" w:sz="4" w:space="0" w:color="auto"/>
              <w:bottom w:val="single" w:sz="4" w:space="0" w:color="000000"/>
              <w:right w:val="single" w:sz="4" w:space="0" w:color="auto"/>
            </w:tcBorders>
          </w:tcPr>
          <w:p w14:paraId="1E4BDE3A" w14:textId="77777777" w:rsidR="00E73BD8" w:rsidRPr="00250E94" w:rsidRDefault="00E73BD8" w:rsidP="00B27F75">
            <w:pPr>
              <w:widowControl w:val="0"/>
              <w:spacing w:after="200" w:line="240" w:lineRule="auto"/>
              <w:jc w:val="center"/>
              <w:rPr>
                <w:rFonts w:eastAsiaTheme="minorHAnsi"/>
                <w:sz w:val="20"/>
                <w:szCs w:val="20"/>
                <w:lang w:val="en-US"/>
              </w:rPr>
            </w:pPr>
            <w:r w:rsidRPr="00250E94">
              <w:rPr>
                <w:rFonts w:eastAsiaTheme="minorHAnsi"/>
                <w:sz w:val="20"/>
                <w:szCs w:val="20"/>
                <w:lang w:val="en-US"/>
              </w:rPr>
              <w:t>+</w:t>
            </w:r>
          </w:p>
        </w:tc>
        <w:tc>
          <w:tcPr>
            <w:tcW w:w="3690" w:type="dxa"/>
            <w:tcBorders>
              <w:top w:val="single" w:sz="4" w:space="0" w:color="000000"/>
              <w:left w:val="single" w:sz="4" w:space="0" w:color="auto"/>
              <w:bottom w:val="single" w:sz="4" w:space="0" w:color="000000"/>
              <w:right w:val="single" w:sz="4" w:space="0" w:color="auto"/>
            </w:tcBorders>
          </w:tcPr>
          <w:p w14:paraId="5F992020" w14:textId="77777777" w:rsidR="00E73BD8" w:rsidRPr="00250E94" w:rsidRDefault="00E73BD8" w:rsidP="00B27F75">
            <w:pPr>
              <w:widowControl w:val="0"/>
              <w:spacing w:after="200" w:line="240" w:lineRule="auto"/>
              <w:rPr>
                <w:rFonts w:eastAsiaTheme="minorHAnsi"/>
                <w:sz w:val="20"/>
                <w:szCs w:val="20"/>
                <w:lang w:val="en-US"/>
              </w:rPr>
            </w:pPr>
            <w:r w:rsidRPr="00250E94">
              <w:rPr>
                <w:rFonts w:eastAsiaTheme="minorHAnsi"/>
                <w:sz w:val="20"/>
                <w:szCs w:val="20"/>
                <w:lang w:val="en-US"/>
              </w:rPr>
              <w:t>Undetermined northern Levant</w:t>
            </w:r>
          </w:p>
        </w:tc>
        <w:tc>
          <w:tcPr>
            <w:tcW w:w="1530" w:type="dxa"/>
            <w:tcBorders>
              <w:top w:val="single" w:sz="4" w:space="0" w:color="000000"/>
              <w:left w:val="single" w:sz="4" w:space="0" w:color="auto"/>
              <w:bottom w:val="single" w:sz="4" w:space="0" w:color="000000"/>
              <w:right w:val="single" w:sz="4" w:space="0" w:color="auto"/>
            </w:tcBorders>
          </w:tcPr>
          <w:p w14:paraId="1072494A" w14:textId="77777777" w:rsidR="00E73BD8" w:rsidRPr="00250E94" w:rsidRDefault="00E73BD8" w:rsidP="00B27F75">
            <w:pPr>
              <w:widowControl w:val="0"/>
              <w:spacing w:after="200" w:line="240" w:lineRule="auto"/>
              <w:jc w:val="center"/>
              <w:rPr>
                <w:rFonts w:eastAsiaTheme="minorHAnsi"/>
                <w:sz w:val="20"/>
                <w:szCs w:val="20"/>
                <w:lang w:val="en-US"/>
              </w:rPr>
            </w:pPr>
            <w:r w:rsidRPr="00250E94">
              <w:rPr>
                <w:rFonts w:eastAsiaTheme="minorHAnsi"/>
                <w:sz w:val="20"/>
                <w:szCs w:val="20"/>
                <w:lang w:val="en-US"/>
              </w:rPr>
              <w:t>-</w:t>
            </w:r>
          </w:p>
        </w:tc>
        <w:tc>
          <w:tcPr>
            <w:tcW w:w="1440" w:type="dxa"/>
            <w:tcBorders>
              <w:top w:val="single" w:sz="4" w:space="0" w:color="000000"/>
              <w:left w:val="single" w:sz="4" w:space="0" w:color="auto"/>
              <w:bottom w:val="single" w:sz="4" w:space="0" w:color="000000"/>
              <w:right w:val="single" w:sz="4" w:space="0" w:color="auto"/>
            </w:tcBorders>
          </w:tcPr>
          <w:p w14:paraId="0B72514F" w14:textId="77777777" w:rsidR="00E73BD8" w:rsidRPr="00250E94" w:rsidRDefault="00E73BD8" w:rsidP="00B27F75">
            <w:pPr>
              <w:widowControl w:val="0"/>
              <w:spacing w:after="200" w:line="240" w:lineRule="auto"/>
              <w:jc w:val="center"/>
              <w:rPr>
                <w:rFonts w:eastAsiaTheme="minorHAnsi"/>
                <w:b/>
                <w:sz w:val="20"/>
                <w:szCs w:val="20"/>
                <w:lang w:val="en-US"/>
              </w:rPr>
            </w:pPr>
            <w:r w:rsidRPr="00250E94">
              <w:rPr>
                <w:rFonts w:eastAsiaTheme="minorHAnsi"/>
                <w:b/>
                <w:sz w:val="20"/>
                <w:szCs w:val="20"/>
                <w:lang w:val="en-US"/>
              </w:rPr>
              <w:t>-</w:t>
            </w:r>
          </w:p>
        </w:tc>
      </w:tr>
      <w:tr w:rsidR="00E73BD8" w:rsidRPr="00250E94" w14:paraId="49C1D624" w14:textId="77777777" w:rsidTr="00B27F75">
        <w:trPr>
          <w:trHeight w:hRule="exact" w:val="532"/>
        </w:trPr>
        <w:tc>
          <w:tcPr>
            <w:tcW w:w="1633" w:type="dxa"/>
            <w:tcBorders>
              <w:top w:val="single" w:sz="4" w:space="0" w:color="000000"/>
              <w:left w:val="single" w:sz="4" w:space="0" w:color="auto"/>
              <w:bottom w:val="single" w:sz="4" w:space="0" w:color="000000"/>
              <w:right w:val="single" w:sz="4" w:space="0" w:color="auto"/>
            </w:tcBorders>
          </w:tcPr>
          <w:p w14:paraId="6BF68943" w14:textId="77777777" w:rsidR="00E73BD8" w:rsidRPr="00250E94" w:rsidRDefault="00E73BD8" w:rsidP="00B27F75">
            <w:pPr>
              <w:widowControl w:val="0"/>
              <w:spacing w:after="200" w:line="240" w:lineRule="auto"/>
              <w:rPr>
                <w:rFonts w:eastAsiaTheme="minorHAnsi"/>
                <w:sz w:val="20"/>
                <w:szCs w:val="20"/>
                <w:lang w:val="en-US"/>
              </w:rPr>
            </w:pPr>
            <w:r w:rsidRPr="00250E94">
              <w:rPr>
                <w:rFonts w:eastAsiaTheme="minorHAnsi"/>
                <w:sz w:val="20"/>
                <w:szCs w:val="20"/>
                <w:lang w:val="en-US"/>
              </w:rPr>
              <w:t>4630D, JH113</w:t>
            </w:r>
          </w:p>
        </w:tc>
        <w:tc>
          <w:tcPr>
            <w:tcW w:w="2408" w:type="dxa"/>
            <w:tcBorders>
              <w:top w:val="single" w:sz="4" w:space="0" w:color="000000"/>
              <w:left w:val="single" w:sz="4" w:space="0" w:color="auto"/>
              <w:bottom w:val="single" w:sz="4" w:space="0" w:color="000000"/>
              <w:right w:val="single" w:sz="4" w:space="0" w:color="auto"/>
            </w:tcBorders>
          </w:tcPr>
          <w:p w14:paraId="6BFCCDAB" w14:textId="77777777" w:rsidR="00E73BD8" w:rsidRPr="00250E94" w:rsidRDefault="00E73BD8" w:rsidP="00B27F75">
            <w:pPr>
              <w:widowControl w:val="0"/>
              <w:spacing w:after="200" w:line="240" w:lineRule="auto"/>
              <w:rPr>
                <w:rFonts w:eastAsiaTheme="minorHAnsi"/>
                <w:sz w:val="20"/>
                <w:szCs w:val="20"/>
                <w:lang w:val="en-US"/>
              </w:rPr>
            </w:pPr>
            <w:r w:rsidRPr="00250E94">
              <w:rPr>
                <w:rFonts w:eastAsiaTheme="minorHAnsi"/>
                <w:sz w:val="20"/>
                <w:szCs w:val="20"/>
                <w:lang w:val="en-US"/>
              </w:rPr>
              <w:t>Most similar to Ebla JHEB03, of local origin</w:t>
            </w:r>
          </w:p>
        </w:tc>
        <w:tc>
          <w:tcPr>
            <w:tcW w:w="2524" w:type="dxa"/>
            <w:tcBorders>
              <w:top w:val="single" w:sz="4" w:space="0" w:color="000000"/>
              <w:left w:val="single" w:sz="4" w:space="0" w:color="auto"/>
              <w:bottom w:val="single" w:sz="4" w:space="0" w:color="000000"/>
              <w:right w:val="single" w:sz="4" w:space="0" w:color="auto"/>
            </w:tcBorders>
          </w:tcPr>
          <w:p w14:paraId="5C6AFC8D" w14:textId="77777777" w:rsidR="00E73BD8" w:rsidRPr="00250E94" w:rsidRDefault="00E73BD8" w:rsidP="00B27F75">
            <w:pPr>
              <w:widowControl w:val="0"/>
              <w:spacing w:after="200" w:line="240" w:lineRule="auto"/>
              <w:rPr>
                <w:rFonts w:eastAsiaTheme="minorHAnsi"/>
                <w:sz w:val="20"/>
                <w:szCs w:val="20"/>
                <w:lang w:val="en-US"/>
              </w:rPr>
            </w:pPr>
            <w:r w:rsidRPr="00250E94">
              <w:rPr>
                <w:rFonts w:eastAsiaTheme="minorHAnsi"/>
                <w:sz w:val="20"/>
                <w:szCs w:val="20"/>
                <w:lang w:val="en-US"/>
              </w:rPr>
              <w:t>Central and Southern Hill Country</w:t>
            </w:r>
          </w:p>
        </w:tc>
        <w:tc>
          <w:tcPr>
            <w:tcW w:w="1256" w:type="dxa"/>
            <w:tcBorders>
              <w:top w:val="single" w:sz="4" w:space="0" w:color="000000"/>
              <w:left w:val="single" w:sz="4" w:space="0" w:color="auto"/>
              <w:bottom w:val="single" w:sz="4" w:space="0" w:color="000000"/>
              <w:right w:val="single" w:sz="4" w:space="0" w:color="auto"/>
            </w:tcBorders>
          </w:tcPr>
          <w:p w14:paraId="0F678890" w14:textId="77777777" w:rsidR="00E73BD8" w:rsidRPr="00250E94" w:rsidRDefault="00E73BD8" w:rsidP="00B27F75">
            <w:pPr>
              <w:widowControl w:val="0"/>
              <w:spacing w:after="200" w:line="240" w:lineRule="auto"/>
              <w:jc w:val="center"/>
              <w:rPr>
                <w:rFonts w:eastAsiaTheme="minorHAnsi"/>
                <w:sz w:val="20"/>
                <w:szCs w:val="20"/>
                <w:lang w:val="en-US"/>
              </w:rPr>
            </w:pPr>
            <w:r w:rsidRPr="00250E94">
              <w:rPr>
                <w:rFonts w:eastAsiaTheme="minorHAnsi"/>
                <w:sz w:val="20"/>
                <w:szCs w:val="20"/>
                <w:lang w:val="en-US"/>
              </w:rPr>
              <w:t>-</w:t>
            </w:r>
          </w:p>
        </w:tc>
        <w:tc>
          <w:tcPr>
            <w:tcW w:w="3690" w:type="dxa"/>
            <w:tcBorders>
              <w:top w:val="single" w:sz="4" w:space="0" w:color="000000"/>
              <w:left w:val="single" w:sz="4" w:space="0" w:color="auto"/>
              <w:bottom w:val="single" w:sz="4" w:space="0" w:color="000000"/>
              <w:right w:val="single" w:sz="4" w:space="0" w:color="auto"/>
            </w:tcBorders>
          </w:tcPr>
          <w:p w14:paraId="11EEBFE7" w14:textId="77777777" w:rsidR="00E73BD8" w:rsidRPr="00250E94" w:rsidRDefault="00E73BD8" w:rsidP="00B27F75">
            <w:pPr>
              <w:widowControl w:val="0"/>
              <w:spacing w:after="200" w:line="240" w:lineRule="auto"/>
              <w:rPr>
                <w:rFonts w:eastAsiaTheme="minorHAnsi"/>
                <w:sz w:val="20"/>
                <w:szCs w:val="20"/>
                <w:lang w:val="en-US"/>
              </w:rPr>
            </w:pPr>
            <w:bookmarkStart w:id="75" w:name="_Hlk8543162"/>
            <w:r w:rsidRPr="00250E94">
              <w:rPr>
                <w:rFonts w:eastAsiaTheme="minorHAnsi"/>
                <w:sz w:val="20"/>
                <w:szCs w:val="20"/>
                <w:lang w:val="en-US"/>
              </w:rPr>
              <w:t xml:space="preserve">Eastern Galilee or the Yarmuq area, or the Akkar or </w:t>
            </w:r>
            <w:bookmarkStart w:id="76" w:name="_Hlk8455822"/>
            <w:r w:rsidRPr="00250E94">
              <w:rPr>
                <w:rFonts w:eastAsiaTheme="minorHAnsi"/>
                <w:sz w:val="20"/>
                <w:szCs w:val="20"/>
                <w:lang w:val="en-US"/>
              </w:rPr>
              <w:t>Middle Orontes north of Qedesh</w:t>
            </w:r>
            <w:bookmarkEnd w:id="75"/>
            <w:bookmarkEnd w:id="76"/>
          </w:p>
        </w:tc>
        <w:tc>
          <w:tcPr>
            <w:tcW w:w="1530" w:type="dxa"/>
            <w:tcBorders>
              <w:top w:val="single" w:sz="4" w:space="0" w:color="000000"/>
              <w:left w:val="single" w:sz="4" w:space="0" w:color="auto"/>
              <w:bottom w:val="single" w:sz="4" w:space="0" w:color="000000"/>
              <w:right w:val="single" w:sz="4" w:space="0" w:color="auto"/>
            </w:tcBorders>
          </w:tcPr>
          <w:p w14:paraId="0F44AE41" w14:textId="77777777" w:rsidR="00E73BD8" w:rsidRPr="00250E94" w:rsidRDefault="00E73BD8" w:rsidP="00B27F75">
            <w:pPr>
              <w:widowControl w:val="0"/>
              <w:spacing w:after="200" w:line="240" w:lineRule="auto"/>
              <w:jc w:val="center"/>
              <w:rPr>
                <w:rFonts w:eastAsiaTheme="minorHAnsi"/>
                <w:sz w:val="20"/>
                <w:szCs w:val="20"/>
                <w:lang w:val="en-US"/>
              </w:rPr>
            </w:pPr>
            <w:r w:rsidRPr="00250E94">
              <w:rPr>
                <w:rFonts w:eastAsiaTheme="minorHAnsi"/>
                <w:sz w:val="20"/>
                <w:szCs w:val="20"/>
                <w:lang w:val="en-US"/>
              </w:rPr>
              <w:t>+</w:t>
            </w:r>
          </w:p>
        </w:tc>
        <w:tc>
          <w:tcPr>
            <w:tcW w:w="1440" w:type="dxa"/>
            <w:tcBorders>
              <w:top w:val="single" w:sz="4" w:space="0" w:color="000000"/>
              <w:left w:val="single" w:sz="4" w:space="0" w:color="auto"/>
              <w:bottom w:val="single" w:sz="4" w:space="0" w:color="000000"/>
              <w:right w:val="single" w:sz="4" w:space="0" w:color="auto"/>
            </w:tcBorders>
          </w:tcPr>
          <w:p w14:paraId="58DDA2F7" w14:textId="77777777" w:rsidR="00E73BD8" w:rsidRPr="00250E94" w:rsidRDefault="00E73BD8" w:rsidP="00B27F75">
            <w:pPr>
              <w:widowControl w:val="0"/>
              <w:spacing w:after="200" w:line="240" w:lineRule="auto"/>
              <w:jc w:val="center"/>
              <w:rPr>
                <w:rFonts w:eastAsiaTheme="minorHAnsi"/>
                <w:b/>
                <w:sz w:val="20"/>
                <w:szCs w:val="20"/>
                <w:lang w:val="en-US"/>
              </w:rPr>
            </w:pPr>
            <w:r w:rsidRPr="00250E94">
              <w:rPr>
                <w:rFonts w:eastAsiaTheme="minorHAnsi"/>
                <w:b/>
                <w:sz w:val="20"/>
                <w:szCs w:val="20"/>
                <w:lang w:val="en-US"/>
              </w:rPr>
              <w:t>-</w:t>
            </w:r>
          </w:p>
        </w:tc>
      </w:tr>
      <w:tr w:rsidR="00E73BD8" w:rsidRPr="00250E94" w14:paraId="1792A4C3" w14:textId="77777777" w:rsidTr="00B27F75">
        <w:trPr>
          <w:trHeight w:hRule="exact" w:val="451"/>
        </w:trPr>
        <w:tc>
          <w:tcPr>
            <w:tcW w:w="1633" w:type="dxa"/>
            <w:tcBorders>
              <w:top w:val="single" w:sz="4" w:space="0" w:color="000000"/>
              <w:left w:val="single" w:sz="4" w:space="0" w:color="auto"/>
              <w:bottom w:val="single" w:sz="4" w:space="0" w:color="000000"/>
              <w:right w:val="single" w:sz="4" w:space="0" w:color="auto"/>
            </w:tcBorders>
          </w:tcPr>
          <w:p w14:paraId="2C40F8F3" w14:textId="77777777" w:rsidR="00E73BD8" w:rsidRPr="00250E94" w:rsidRDefault="00E73BD8" w:rsidP="00B27F75">
            <w:pPr>
              <w:widowControl w:val="0"/>
              <w:spacing w:after="200" w:line="240" w:lineRule="auto"/>
              <w:rPr>
                <w:rFonts w:eastAsiaTheme="minorHAnsi"/>
                <w:sz w:val="20"/>
                <w:szCs w:val="20"/>
                <w:lang w:val="en-US"/>
              </w:rPr>
            </w:pPr>
            <w:r w:rsidRPr="00250E94">
              <w:rPr>
                <w:rFonts w:eastAsiaTheme="minorHAnsi"/>
                <w:sz w:val="20"/>
                <w:szCs w:val="20"/>
                <w:lang w:val="en-US"/>
              </w:rPr>
              <w:t>4636A JH132</w:t>
            </w:r>
          </w:p>
        </w:tc>
        <w:tc>
          <w:tcPr>
            <w:tcW w:w="2408" w:type="dxa"/>
            <w:tcBorders>
              <w:top w:val="single" w:sz="4" w:space="0" w:color="000000"/>
              <w:left w:val="single" w:sz="4" w:space="0" w:color="auto"/>
              <w:bottom w:val="single" w:sz="4" w:space="0" w:color="000000"/>
              <w:right w:val="single" w:sz="4" w:space="0" w:color="auto"/>
            </w:tcBorders>
          </w:tcPr>
          <w:p w14:paraId="539B3BE5" w14:textId="77777777" w:rsidR="00E73BD8" w:rsidRPr="00250E94" w:rsidRDefault="00E73BD8" w:rsidP="00B27F75">
            <w:pPr>
              <w:widowControl w:val="0"/>
              <w:spacing w:after="200" w:line="240" w:lineRule="auto"/>
              <w:rPr>
                <w:rFonts w:eastAsiaTheme="minorHAnsi"/>
                <w:sz w:val="20"/>
                <w:szCs w:val="20"/>
                <w:lang w:val="en-US"/>
              </w:rPr>
            </w:pPr>
            <w:r w:rsidRPr="00250E94">
              <w:rPr>
                <w:rFonts w:eastAsiaTheme="minorHAnsi"/>
                <w:sz w:val="20"/>
                <w:szCs w:val="20"/>
                <w:lang w:val="en-US"/>
              </w:rPr>
              <w:t>Most similar to Qatna JH482, import from Southern Palestine</w:t>
            </w:r>
          </w:p>
        </w:tc>
        <w:tc>
          <w:tcPr>
            <w:tcW w:w="2524" w:type="dxa"/>
            <w:tcBorders>
              <w:top w:val="single" w:sz="4" w:space="0" w:color="000000"/>
              <w:left w:val="single" w:sz="4" w:space="0" w:color="auto"/>
              <w:bottom w:val="single" w:sz="4" w:space="0" w:color="000000"/>
              <w:right w:val="single" w:sz="4" w:space="0" w:color="auto"/>
            </w:tcBorders>
          </w:tcPr>
          <w:p w14:paraId="0555B42F" w14:textId="77777777" w:rsidR="00E73BD8" w:rsidRPr="00250E94" w:rsidRDefault="00E73BD8" w:rsidP="00B27F75">
            <w:pPr>
              <w:widowControl w:val="0"/>
              <w:spacing w:after="200" w:line="240" w:lineRule="auto"/>
              <w:rPr>
                <w:rFonts w:eastAsiaTheme="minorHAnsi"/>
                <w:sz w:val="20"/>
                <w:szCs w:val="20"/>
                <w:lang w:val="en-US"/>
              </w:rPr>
            </w:pPr>
            <w:r w:rsidRPr="00250E94">
              <w:rPr>
                <w:rFonts w:eastAsiaTheme="minorHAnsi"/>
                <w:sz w:val="20"/>
                <w:szCs w:val="20"/>
                <w:lang w:val="en-US"/>
              </w:rPr>
              <w:t>Not recorded</w:t>
            </w:r>
          </w:p>
        </w:tc>
        <w:tc>
          <w:tcPr>
            <w:tcW w:w="1256" w:type="dxa"/>
            <w:tcBorders>
              <w:top w:val="single" w:sz="4" w:space="0" w:color="000000"/>
              <w:left w:val="single" w:sz="4" w:space="0" w:color="auto"/>
              <w:bottom w:val="single" w:sz="4" w:space="0" w:color="000000"/>
              <w:right w:val="single" w:sz="4" w:space="0" w:color="auto"/>
            </w:tcBorders>
          </w:tcPr>
          <w:p w14:paraId="43EE2972" w14:textId="77777777" w:rsidR="00E73BD8" w:rsidRPr="00250E94" w:rsidRDefault="00E73BD8" w:rsidP="00B27F75">
            <w:pPr>
              <w:widowControl w:val="0"/>
              <w:spacing w:after="200" w:line="240" w:lineRule="auto"/>
              <w:jc w:val="center"/>
              <w:rPr>
                <w:rFonts w:eastAsiaTheme="minorHAnsi"/>
                <w:sz w:val="20"/>
                <w:szCs w:val="20"/>
                <w:lang w:val="en-US"/>
              </w:rPr>
            </w:pPr>
            <w:r w:rsidRPr="00250E94">
              <w:rPr>
                <w:rFonts w:eastAsiaTheme="minorHAnsi"/>
                <w:sz w:val="20"/>
                <w:szCs w:val="20"/>
                <w:lang w:val="en-US"/>
              </w:rPr>
              <w:t>No information</w:t>
            </w:r>
          </w:p>
        </w:tc>
        <w:tc>
          <w:tcPr>
            <w:tcW w:w="3690" w:type="dxa"/>
            <w:tcBorders>
              <w:top w:val="single" w:sz="4" w:space="0" w:color="000000"/>
              <w:left w:val="single" w:sz="4" w:space="0" w:color="auto"/>
              <w:bottom w:val="single" w:sz="4" w:space="0" w:color="000000"/>
              <w:right w:val="single" w:sz="4" w:space="0" w:color="auto"/>
            </w:tcBorders>
          </w:tcPr>
          <w:p w14:paraId="22B8C100" w14:textId="77777777" w:rsidR="00E73BD8" w:rsidRPr="00250E94" w:rsidRDefault="00E73BD8" w:rsidP="00B27F75">
            <w:pPr>
              <w:widowControl w:val="0"/>
              <w:spacing w:after="200" w:line="240" w:lineRule="auto"/>
              <w:rPr>
                <w:rFonts w:eastAsiaTheme="minorHAnsi"/>
                <w:sz w:val="20"/>
                <w:szCs w:val="20"/>
                <w:lang w:val="en-US"/>
              </w:rPr>
            </w:pPr>
            <w:r w:rsidRPr="00250E94">
              <w:rPr>
                <w:rFonts w:eastAsiaTheme="minorHAnsi"/>
                <w:sz w:val="20"/>
                <w:szCs w:val="20"/>
                <w:lang w:val="en-US"/>
              </w:rPr>
              <w:t>Mount Carmel area in Israel</w:t>
            </w:r>
          </w:p>
        </w:tc>
        <w:tc>
          <w:tcPr>
            <w:tcW w:w="1530" w:type="dxa"/>
            <w:tcBorders>
              <w:top w:val="single" w:sz="4" w:space="0" w:color="000000"/>
              <w:left w:val="single" w:sz="4" w:space="0" w:color="auto"/>
              <w:bottom w:val="single" w:sz="4" w:space="0" w:color="000000"/>
              <w:right w:val="single" w:sz="4" w:space="0" w:color="auto"/>
            </w:tcBorders>
          </w:tcPr>
          <w:p w14:paraId="24D0D486" w14:textId="77777777" w:rsidR="00E73BD8" w:rsidRPr="00250E94" w:rsidRDefault="00E73BD8" w:rsidP="00B27F75">
            <w:pPr>
              <w:widowControl w:val="0"/>
              <w:spacing w:after="200" w:line="240" w:lineRule="auto"/>
              <w:jc w:val="center"/>
              <w:rPr>
                <w:rFonts w:eastAsiaTheme="minorHAnsi"/>
                <w:sz w:val="20"/>
                <w:szCs w:val="20"/>
                <w:lang w:val="en-US"/>
              </w:rPr>
            </w:pPr>
            <w:r w:rsidRPr="00250E94">
              <w:rPr>
                <w:rFonts w:eastAsiaTheme="minorHAnsi"/>
                <w:sz w:val="20"/>
                <w:szCs w:val="20"/>
                <w:lang w:val="en-US"/>
              </w:rPr>
              <w:t>-</w:t>
            </w:r>
          </w:p>
        </w:tc>
        <w:tc>
          <w:tcPr>
            <w:tcW w:w="1440" w:type="dxa"/>
            <w:tcBorders>
              <w:top w:val="single" w:sz="4" w:space="0" w:color="000000"/>
              <w:left w:val="single" w:sz="4" w:space="0" w:color="auto"/>
              <w:bottom w:val="single" w:sz="4" w:space="0" w:color="000000"/>
              <w:right w:val="single" w:sz="4" w:space="0" w:color="auto"/>
            </w:tcBorders>
          </w:tcPr>
          <w:p w14:paraId="7A75E301" w14:textId="77777777" w:rsidR="00E73BD8" w:rsidRPr="00250E94" w:rsidRDefault="00E73BD8" w:rsidP="00B27F75">
            <w:pPr>
              <w:widowControl w:val="0"/>
              <w:spacing w:after="200" w:line="240" w:lineRule="auto"/>
              <w:jc w:val="center"/>
              <w:rPr>
                <w:rFonts w:eastAsiaTheme="minorHAnsi"/>
                <w:b/>
                <w:sz w:val="20"/>
                <w:szCs w:val="20"/>
                <w:lang w:val="en-US"/>
              </w:rPr>
            </w:pPr>
            <w:r w:rsidRPr="00250E94">
              <w:rPr>
                <w:rFonts w:eastAsiaTheme="minorHAnsi"/>
                <w:b/>
                <w:sz w:val="20"/>
                <w:szCs w:val="20"/>
                <w:lang w:val="en-US"/>
              </w:rPr>
              <w:t>No information</w:t>
            </w:r>
          </w:p>
        </w:tc>
      </w:tr>
      <w:tr w:rsidR="00E73BD8" w:rsidRPr="00250E94" w14:paraId="3993FDD6" w14:textId="77777777" w:rsidTr="00B27F75">
        <w:trPr>
          <w:trHeight w:hRule="exact" w:val="541"/>
        </w:trPr>
        <w:tc>
          <w:tcPr>
            <w:tcW w:w="1633" w:type="dxa"/>
            <w:tcBorders>
              <w:top w:val="single" w:sz="4" w:space="0" w:color="000000"/>
              <w:left w:val="single" w:sz="4" w:space="0" w:color="auto"/>
              <w:bottom w:val="single" w:sz="4" w:space="0" w:color="000000"/>
              <w:right w:val="single" w:sz="4" w:space="0" w:color="auto"/>
            </w:tcBorders>
          </w:tcPr>
          <w:p w14:paraId="6FC78901" w14:textId="77777777" w:rsidR="00E73BD8" w:rsidRPr="00250E94" w:rsidRDefault="00E73BD8" w:rsidP="00B27F75">
            <w:pPr>
              <w:widowControl w:val="0"/>
              <w:spacing w:after="200" w:line="240" w:lineRule="auto"/>
              <w:rPr>
                <w:rFonts w:eastAsiaTheme="minorHAnsi"/>
                <w:sz w:val="20"/>
                <w:szCs w:val="20"/>
                <w:lang w:val="en-US"/>
              </w:rPr>
            </w:pPr>
            <w:r w:rsidRPr="00250E94">
              <w:rPr>
                <w:rFonts w:eastAsiaTheme="minorHAnsi"/>
                <w:sz w:val="20"/>
                <w:szCs w:val="20"/>
                <w:lang w:val="en-US"/>
              </w:rPr>
              <w:t>4777, JH657</w:t>
            </w:r>
          </w:p>
        </w:tc>
        <w:tc>
          <w:tcPr>
            <w:tcW w:w="2408" w:type="dxa"/>
            <w:tcBorders>
              <w:top w:val="single" w:sz="4" w:space="0" w:color="000000"/>
              <w:left w:val="single" w:sz="4" w:space="0" w:color="auto"/>
              <w:bottom w:val="single" w:sz="4" w:space="0" w:color="000000"/>
              <w:right w:val="single" w:sz="4" w:space="0" w:color="auto"/>
            </w:tcBorders>
          </w:tcPr>
          <w:p w14:paraId="54DFE618" w14:textId="77777777" w:rsidR="00E73BD8" w:rsidRPr="00250E94" w:rsidRDefault="00E73BD8" w:rsidP="00B27F75">
            <w:pPr>
              <w:widowControl w:val="0"/>
              <w:spacing w:after="200" w:line="240" w:lineRule="auto"/>
              <w:rPr>
                <w:rFonts w:eastAsiaTheme="minorHAnsi"/>
                <w:sz w:val="20"/>
                <w:szCs w:val="20"/>
                <w:lang w:val="en-US"/>
              </w:rPr>
            </w:pPr>
            <w:r w:rsidRPr="00250E94">
              <w:rPr>
                <w:rFonts w:eastAsiaTheme="minorHAnsi"/>
                <w:sz w:val="20"/>
                <w:szCs w:val="20"/>
                <w:lang w:val="en-US"/>
              </w:rPr>
              <w:t>Southern Palestine</w:t>
            </w:r>
          </w:p>
        </w:tc>
        <w:tc>
          <w:tcPr>
            <w:tcW w:w="2524" w:type="dxa"/>
            <w:tcBorders>
              <w:top w:val="single" w:sz="4" w:space="0" w:color="000000"/>
              <w:left w:val="single" w:sz="4" w:space="0" w:color="auto"/>
              <w:bottom w:val="single" w:sz="4" w:space="0" w:color="000000"/>
              <w:right w:val="single" w:sz="4" w:space="0" w:color="auto"/>
            </w:tcBorders>
          </w:tcPr>
          <w:p w14:paraId="2C8B14F1" w14:textId="77777777" w:rsidR="00E73BD8" w:rsidRPr="00250E94" w:rsidRDefault="00E73BD8" w:rsidP="00B27F75">
            <w:pPr>
              <w:widowControl w:val="0"/>
              <w:spacing w:after="200" w:line="240" w:lineRule="auto"/>
              <w:rPr>
                <w:rFonts w:eastAsiaTheme="minorHAnsi"/>
                <w:sz w:val="20"/>
                <w:szCs w:val="20"/>
                <w:lang w:val="en-US"/>
              </w:rPr>
            </w:pPr>
            <w:r w:rsidRPr="00250E94">
              <w:rPr>
                <w:rFonts w:eastAsiaTheme="minorHAnsi"/>
                <w:sz w:val="20"/>
                <w:szCs w:val="20"/>
                <w:lang w:val="en-US"/>
              </w:rPr>
              <w:t>Southern Coastal Plain (Southern Palestine)</w:t>
            </w:r>
          </w:p>
        </w:tc>
        <w:tc>
          <w:tcPr>
            <w:tcW w:w="1256" w:type="dxa"/>
            <w:tcBorders>
              <w:top w:val="single" w:sz="4" w:space="0" w:color="000000"/>
              <w:left w:val="single" w:sz="4" w:space="0" w:color="auto"/>
              <w:bottom w:val="single" w:sz="4" w:space="0" w:color="000000"/>
              <w:right w:val="single" w:sz="4" w:space="0" w:color="auto"/>
            </w:tcBorders>
          </w:tcPr>
          <w:p w14:paraId="6EAF1C71" w14:textId="77777777" w:rsidR="00E73BD8" w:rsidRPr="00250E94" w:rsidRDefault="00E73BD8" w:rsidP="00B27F75">
            <w:pPr>
              <w:widowControl w:val="0"/>
              <w:spacing w:after="200" w:line="240" w:lineRule="auto"/>
              <w:jc w:val="center"/>
              <w:rPr>
                <w:rFonts w:eastAsiaTheme="minorHAnsi"/>
                <w:sz w:val="20"/>
                <w:szCs w:val="20"/>
                <w:lang w:val="en-US"/>
              </w:rPr>
            </w:pPr>
            <w:r w:rsidRPr="00250E94">
              <w:rPr>
                <w:rFonts w:eastAsiaTheme="minorHAnsi"/>
                <w:sz w:val="20"/>
                <w:szCs w:val="20"/>
                <w:lang w:val="en-US"/>
              </w:rPr>
              <w:t>+</w:t>
            </w:r>
          </w:p>
        </w:tc>
        <w:tc>
          <w:tcPr>
            <w:tcW w:w="3690" w:type="dxa"/>
            <w:tcBorders>
              <w:top w:val="single" w:sz="4" w:space="0" w:color="000000"/>
              <w:left w:val="single" w:sz="4" w:space="0" w:color="auto"/>
              <w:bottom w:val="single" w:sz="4" w:space="0" w:color="000000"/>
              <w:right w:val="single" w:sz="4" w:space="0" w:color="auto"/>
            </w:tcBorders>
          </w:tcPr>
          <w:p w14:paraId="4EE31269" w14:textId="77777777" w:rsidR="00E73BD8" w:rsidRPr="00250E94" w:rsidRDefault="00E73BD8" w:rsidP="00B27F75">
            <w:pPr>
              <w:widowControl w:val="0"/>
              <w:spacing w:after="200" w:line="240" w:lineRule="auto"/>
              <w:rPr>
                <w:rFonts w:eastAsiaTheme="minorHAnsi"/>
                <w:sz w:val="20"/>
                <w:szCs w:val="20"/>
                <w:lang w:val="en-US"/>
              </w:rPr>
            </w:pPr>
            <w:r w:rsidRPr="00250E94">
              <w:rPr>
                <w:rFonts w:eastAsiaTheme="minorHAnsi"/>
                <w:sz w:val="20"/>
                <w:szCs w:val="20"/>
                <w:lang w:val="en-US"/>
              </w:rPr>
              <w:t>Nile Valley</w:t>
            </w:r>
          </w:p>
        </w:tc>
        <w:tc>
          <w:tcPr>
            <w:tcW w:w="1530" w:type="dxa"/>
            <w:tcBorders>
              <w:top w:val="single" w:sz="4" w:space="0" w:color="000000"/>
              <w:left w:val="single" w:sz="4" w:space="0" w:color="auto"/>
              <w:bottom w:val="single" w:sz="4" w:space="0" w:color="000000"/>
              <w:right w:val="single" w:sz="4" w:space="0" w:color="auto"/>
            </w:tcBorders>
          </w:tcPr>
          <w:p w14:paraId="78462D9E" w14:textId="77777777" w:rsidR="00E73BD8" w:rsidRPr="00250E94" w:rsidRDefault="00E73BD8" w:rsidP="00B27F75">
            <w:pPr>
              <w:widowControl w:val="0"/>
              <w:spacing w:after="200" w:line="240" w:lineRule="auto"/>
              <w:jc w:val="center"/>
              <w:rPr>
                <w:rFonts w:eastAsiaTheme="minorHAnsi"/>
                <w:sz w:val="20"/>
                <w:szCs w:val="20"/>
                <w:lang w:val="en-US"/>
              </w:rPr>
            </w:pPr>
            <w:r w:rsidRPr="00250E94">
              <w:rPr>
                <w:rFonts w:eastAsiaTheme="minorHAnsi"/>
                <w:sz w:val="20"/>
                <w:szCs w:val="20"/>
                <w:lang w:val="en-US"/>
              </w:rPr>
              <w:t>-</w:t>
            </w:r>
          </w:p>
        </w:tc>
        <w:tc>
          <w:tcPr>
            <w:tcW w:w="1440" w:type="dxa"/>
            <w:tcBorders>
              <w:top w:val="single" w:sz="4" w:space="0" w:color="000000"/>
              <w:left w:val="single" w:sz="4" w:space="0" w:color="auto"/>
              <w:bottom w:val="single" w:sz="4" w:space="0" w:color="000000"/>
              <w:right w:val="single" w:sz="4" w:space="0" w:color="auto"/>
            </w:tcBorders>
          </w:tcPr>
          <w:p w14:paraId="375100AF" w14:textId="77777777" w:rsidR="00E73BD8" w:rsidRPr="00250E94" w:rsidRDefault="00E73BD8" w:rsidP="00B27F75">
            <w:pPr>
              <w:widowControl w:val="0"/>
              <w:spacing w:after="200" w:line="240" w:lineRule="auto"/>
              <w:jc w:val="center"/>
              <w:rPr>
                <w:rFonts w:eastAsiaTheme="minorHAnsi"/>
                <w:b/>
                <w:sz w:val="20"/>
                <w:szCs w:val="20"/>
                <w:lang w:val="en-US"/>
              </w:rPr>
            </w:pPr>
            <w:r w:rsidRPr="00250E94">
              <w:rPr>
                <w:rFonts w:eastAsiaTheme="minorHAnsi"/>
                <w:b/>
                <w:sz w:val="20"/>
                <w:szCs w:val="20"/>
                <w:lang w:val="en-US"/>
              </w:rPr>
              <w:t>-</w:t>
            </w:r>
          </w:p>
        </w:tc>
      </w:tr>
      <w:tr w:rsidR="00E73BD8" w:rsidRPr="00250E94" w14:paraId="0A4A32BA" w14:textId="77777777" w:rsidTr="00B27F75">
        <w:trPr>
          <w:trHeight w:hRule="exact" w:val="451"/>
        </w:trPr>
        <w:tc>
          <w:tcPr>
            <w:tcW w:w="1633" w:type="dxa"/>
            <w:tcBorders>
              <w:top w:val="single" w:sz="4" w:space="0" w:color="000000"/>
              <w:left w:val="single" w:sz="4" w:space="0" w:color="auto"/>
              <w:bottom w:val="single" w:sz="4" w:space="0" w:color="000000"/>
              <w:right w:val="single" w:sz="4" w:space="0" w:color="auto"/>
            </w:tcBorders>
            <w:vAlign w:val="bottom"/>
          </w:tcPr>
          <w:p w14:paraId="7D7DC06C" w14:textId="77777777" w:rsidR="00E73BD8" w:rsidRPr="00250E94" w:rsidRDefault="00E73BD8" w:rsidP="00B27F75">
            <w:pPr>
              <w:widowControl w:val="0"/>
              <w:spacing w:after="200" w:line="240" w:lineRule="auto"/>
              <w:rPr>
                <w:rFonts w:eastAsiaTheme="minorHAnsi"/>
                <w:sz w:val="20"/>
                <w:szCs w:val="20"/>
                <w:lang w:val="en-US"/>
              </w:rPr>
            </w:pPr>
            <w:r w:rsidRPr="00250E94">
              <w:rPr>
                <w:rFonts w:eastAsiaTheme="minorHAnsi"/>
                <w:sz w:val="20"/>
                <w:szCs w:val="20"/>
                <w:lang w:val="en-US"/>
              </w:rPr>
              <w:t>4779, JH611</w:t>
            </w:r>
          </w:p>
        </w:tc>
        <w:tc>
          <w:tcPr>
            <w:tcW w:w="2408" w:type="dxa"/>
            <w:tcBorders>
              <w:top w:val="single" w:sz="4" w:space="0" w:color="000000"/>
              <w:left w:val="single" w:sz="4" w:space="0" w:color="auto"/>
              <w:bottom w:val="single" w:sz="4" w:space="0" w:color="000000"/>
              <w:right w:val="single" w:sz="4" w:space="0" w:color="auto"/>
            </w:tcBorders>
            <w:vAlign w:val="bottom"/>
          </w:tcPr>
          <w:p w14:paraId="5C4BEC97" w14:textId="77777777" w:rsidR="00E73BD8" w:rsidRPr="00250E94" w:rsidRDefault="00E73BD8" w:rsidP="00B27F75">
            <w:pPr>
              <w:widowControl w:val="0"/>
              <w:spacing w:after="200" w:line="240" w:lineRule="auto"/>
              <w:rPr>
                <w:rFonts w:eastAsiaTheme="minorHAnsi"/>
                <w:sz w:val="20"/>
                <w:szCs w:val="20"/>
                <w:lang w:val="en-US"/>
              </w:rPr>
            </w:pPr>
            <w:r w:rsidRPr="00250E94">
              <w:rPr>
                <w:rFonts w:eastAsiaTheme="minorHAnsi"/>
                <w:sz w:val="20"/>
                <w:szCs w:val="20"/>
                <w:lang w:val="en-US"/>
              </w:rPr>
              <w:t>Southern Palestine</w:t>
            </w:r>
          </w:p>
        </w:tc>
        <w:tc>
          <w:tcPr>
            <w:tcW w:w="2524" w:type="dxa"/>
            <w:tcBorders>
              <w:top w:val="single" w:sz="4" w:space="0" w:color="000000"/>
              <w:left w:val="single" w:sz="4" w:space="0" w:color="auto"/>
              <w:bottom w:val="single" w:sz="4" w:space="0" w:color="000000"/>
              <w:right w:val="single" w:sz="4" w:space="0" w:color="auto"/>
            </w:tcBorders>
            <w:vAlign w:val="bottom"/>
          </w:tcPr>
          <w:p w14:paraId="67C03259" w14:textId="77777777" w:rsidR="00E73BD8" w:rsidRPr="00250E94" w:rsidRDefault="00E73BD8" w:rsidP="00B27F75">
            <w:pPr>
              <w:widowControl w:val="0"/>
              <w:spacing w:after="200" w:line="240" w:lineRule="auto"/>
              <w:rPr>
                <w:rFonts w:eastAsiaTheme="minorHAnsi"/>
                <w:sz w:val="20"/>
                <w:szCs w:val="20"/>
                <w:lang w:val="en-US"/>
              </w:rPr>
            </w:pPr>
            <w:r w:rsidRPr="00250E94">
              <w:rPr>
                <w:rFonts w:eastAsiaTheme="minorHAnsi"/>
                <w:sz w:val="20"/>
                <w:szCs w:val="20"/>
                <w:lang w:val="en-US"/>
              </w:rPr>
              <w:t>Shephelah (Southern Palestine)</w:t>
            </w:r>
          </w:p>
        </w:tc>
        <w:tc>
          <w:tcPr>
            <w:tcW w:w="1256" w:type="dxa"/>
            <w:tcBorders>
              <w:top w:val="single" w:sz="4" w:space="0" w:color="000000"/>
              <w:left w:val="single" w:sz="4" w:space="0" w:color="auto"/>
              <w:bottom w:val="single" w:sz="4" w:space="0" w:color="000000"/>
              <w:right w:val="single" w:sz="4" w:space="0" w:color="auto"/>
            </w:tcBorders>
            <w:vAlign w:val="bottom"/>
          </w:tcPr>
          <w:p w14:paraId="535863D6" w14:textId="77777777" w:rsidR="00E73BD8" w:rsidRPr="00250E94" w:rsidRDefault="00E73BD8" w:rsidP="00B27F75">
            <w:pPr>
              <w:widowControl w:val="0"/>
              <w:spacing w:after="200" w:line="240" w:lineRule="auto"/>
              <w:jc w:val="center"/>
              <w:rPr>
                <w:rFonts w:eastAsiaTheme="minorHAnsi"/>
                <w:sz w:val="20"/>
                <w:szCs w:val="20"/>
                <w:lang w:val="en-US"/>
              </w:rPr>
            </w:pPr>
            <w:r w:rsidRPr="00250E94">
              <w:rPr>
                <w:rFonts w:eastAsiaTheme="minorHAnsi"/>
                <w:sz w:val="20"/>
                <w:szCs w:val="20"/>
                <w:lang w:val="en-US"/>
              </w:rPr>
              <w:t>+</w:t>
            </w:r>
          </w:p>
        </w:tc>
        <w:tc>
          <w:tcPr>
            <w:tcW w:w="3690" w:type="dxa"/>
            <w:tcBorders>
              <w:top w:val="single" w:sz="4" w:space="0" w:color="000000"/>
              <w:left w:val="single" w:sz="4" w:space="0" w:color="auto"/>
              <w:bottom w:val="single" w:sz="4" w:space="0" w:color="000000"/>
              <w:right w:val="single" w:sz="4" w:space="0" w:color="auto"/>
            </w:tcBorders>
            <w:vAlign w:val="bottom"/>
          </w:tcPr>
          <w:p w14:paraId="00FAEAFA" w14:textId="77777777" w:rsidR="00E73BD8" w:rsidRPr="00250E94" w:rsidRDefault="00E73BD8" w:rsidP="00B27F75">
            <w:pPr>
              <w:widowControl w:val="0"/>
              <w:spacing w:after="200" w:line="240" w:lineRule="auto"/>
              <w:rPr>
                <w:rFonts w:eastAsiaTheme="minorHAnsi"/>
                <w:sz w:val="20"/>
                <w:szCs w:val="20"/>
                <w:lang w:val="en-US"/>
              </w:rPr>
            </w:pPr>
            <w:r w:rsidRPr="00250E94">
              <w:rPr>
                <w:rFonts w:eastAsiaTheme="minorHAnsi"/>
                <w:sz w:val="20"/>
                <w:szCs w:val="20"/>
                <w:lang w:val="en-US"/>
              </w:rPr>
              <w:t>Undetermined northern Levant</w:t>
            </w:r>
          </w:p>
        </w:tc>
        <w:tc>
          <w:tcPr>
            <w:tcW w:w="1530" w:type="dxa"/>
            <w:tcBorders>
              <w:top w:val="single" w:sz="4" w:space="0" w:color="000000"/>
              <w:left w:val="single" w:sz="4" w:space="0" w:color="auto"/>
              <w:bottom w:val="single" w:sz="4" w:space="0" w:color="000000"/>
              <w:right w:val="single" w:sz="4" w:space="0" w:color="auto"/>
            </w:tcBorders>
            <w:vAlign w:val="bottom"/>
          </w:tcPr>
          <w:p w14:paraId="35153151" w14:textId="77777777" w:rsidR="00E73BD8" w:rsidRPr="00250E94" w:rsidRDefault="00E73BD8" w:rsidP="00B27F75">
            <w:pPr>
              <w:widowControl w:val="0"/>
              <w:spacing w:after="200" w:line="240" w:lineRule="auto"/>
              <w:jc w:val="center"/>
              <w:rPr>
                <w:rFonts w:eastAsiaTheme="minorHAnsi"/>
                <w:sz w:val="20"/>
                <w:szCs w:val="20"/>
                <w:lang w:val="en-US"/>
              </w:rPr>
            </w:pPr>
            <w:r w:rsidRPr="00250E94">
              <w:rPr>
                <w:rFonts w:eastAsiaTheme="minorHAnsi"/>
                <w:sz w:val="20"/>
                <w:szCs w:val="20"/>
                <w:lang w:val="en-US"/>
              </w:rPr>
              <w:t>-</w:t>
            </w:r>
          </w:p>
        </w:tc>
        <w:tc>
          <w:tcPr>
            <w:tcW w:w="1440" w:type="dxa"/>
            <w:tcBorders>
              <w:top w:val="single" w:sz="4" w:space="0" w:color="000000"/>
              <w:left w:val="single" w:sz="4" w:space="0" w:color="auto"/>
              <w:bottom w:val="single" w:sz="4" w:space="0" w:color="000000"/>
              <w:right w:val="single" w:sz="4" w:space="0" w:color="auto"/>
            </w:tcBorders>
          </w:tcPr>
          <w:p w14:paraId="0911C89F" w14:textId="77777777" w:rsidR="00E73BD8" w:rsidRPr="00250E94" w:rsidRDefault="00E73BD8" w:rsidP="00B27F75">
            <w:pPr>
              <w:widowControl w:val="0"/>
              <w:spacing w:after="200" w:line="240" w:lineRule="auto"/>
              <w:jc w:val="center"/>
              <w:rPr>
                <w:rFonts w:eastAsiaTheme="minorHAnsi"/>
                <w:b/>
                <w:sz w:val="20"/>
                <w:szCs w:val="20"/>
                <w:lang w:val="en-US"/>
              </w:rPr>
            </w:pPr>
            <w:r w:rsidRPr="00250E94">
              <w:rPr>
                <w:rFonts w:eastAsiaTheme="minorHAnsi"/>
                <w:b/>
                <w:sz w:val="20"/>
                <w:szCs w:val="20"/>
                <w:lang w:val="en-US"/>
              </w:rPr>
              <w:t>-</w:t>
            </w:r>
          </w:p>
        </w:tc>
      </w:tr>
      <w:tr w:rsidR="00E73BD8" w:rsidRPr="00250E94" w14:paraId="166F8DF0" w14:textId="77777777" w:rsidTr="00B27F75">
        <w:trPr>
          <w:trHeight w:hRule="exact" w:val="361"/>
        </w:trPr>
        <w:tc>
          <w:tcPr>
            <w:tcW w:w="1633" w:type="dxa"/>
            <w:tcBorders>
              <w:top w:val="single" w:sz="4" w:space="0" w:color="000000"/>
              <w:left w:val="single" w:sz="4" w:space="0" w:color="auto"/>
              <w:bottom w:val="single" w:sz="4" w:space="0" w:color="000000"/>
              <w:right w:val="single" w:sz="4" w:space="0" w:color="auto"/>
            </w:tcBorders>
            <w:vAlign w:val="bottom"/>
          </w:tcPr>
          <w:p w14:paraId="5B88B2D1" w14:textId="77777777" w:rsidR="00E73BD8" w:rsidRPr="00250E94" w:rsidRDefault="00E73BD8" w:rsidP="00B27F75">
            <w:pPr>
              <w:widowControl w:val="0"/>
              <w:spacing w:after="200" w:line="240" w:lineRule="auto"/>
              <w:rPr>
                <w:rFonts w:eastAsiaTheme="minorHAnsi"/>
                <w:sz w:val="20"/>
                <w:szCs w:val="20"/>
                <w:lang w:val="en-US"/>
              </w:rPr>
            </w:pPr>
            <w:r w:rsidRPr="00250E94">
              <w:rPr>
                <w:rFonts w:eastAsiaTheme="minorHAnsi"/>
                <w:sz w:val="20"/>
                <w:szCs w:val="20"/>
                <w:lang w:val="en-US"/>
              </w:rPr>
              <w:t>4951A, JH726</w:t>
            </w:r>
          </w:p>
        </w:tc>
        <w:tc>
          <w:tcPr>
            <w:tcW w:w="2408" w:type="dxa"/>
            <w:tcBorders>
              <w:top w:val="single" w:sz="4" w:space="0" w:color="000000"/>
              <w:left w:val="single" w:sz="4" w:space="0" w:color="auto"/>
              <w:bottom w:val="single" w:sz="4" w:space="0" w:color="000000"/>
              <w:right w:val="single" w:sz="4" w:space="0" w:color="auto"/>
            </w:tcBorders>
            <w:vAlign w:val="bottom"/>
          </w:tcPr>
          <w:p w14:paraId="2640E8B0" w14:textId="77777777" w:rsidR="00E73BD8" w:rsidRPr="00250E94" w:rsidRDefault="00E73BD8" w:rsidP="00B27F75">
            <w:pPr>
              <w:widowControl w:val="0"/>
              <w:spacing w:after="200" w:line="240" w:lineRule="auto"/>
              <w:rPr>
                <w:rFonts w:eastAsiaTheme="minorHAnsi"/>
                <w:sz w:val="20"/>
                <w:szCs w:val="20"/>
                <w:lang w:val="en-US"/>
              </w:rPr>
            </w:pPr>
            <w:r w:rsidRPr="00250E94">
              <w:rPr>
                <w:rFonts w:eastAsiaTheme="minorHAnsi"/>
                <w:sz w:val="20"/>
                <w:szCs w:val="20"/>
                <w:lang w:val="en-US"/>
              </w:rPr>
              <w:t>?</w:t>
            </w:r>
          </w:p>
        </w:tc>
        <w:tc>
          <w:tcPr>
            <w:tcW w:w="2524" w:type="dxa"/>
            <w:tcBorders>
              <w:top w:val="single" w:sz="4" w:space="0" w:color="000000"/>
              <w:left w:val="single" w:sz="4" w:space="0" w:color="auto"/>
              <w:bottom w:val="single" w:sz="4" w:space="0" w:color="000000"/>
              <w:right w:val="single" w:sz="4" w:space="0" w:color="auto"/>
            </w:tcBorders>
            <w:vAlign w:val="bottom"/>
          </w:tcPr>
          <w:p w14:paraId="232B612F" w14:textId="77777777" w:rsidR="00E73BD8" w:rsidRPr="00250E94" w:rsidRDefault="00E73BD8" w:rsidP="00B27F75">
            <w:pPr>
              <w:widowControl w:val="0"/>
              <w:spacing w:after="200" w:line="240" w:lineRule="auto"/>
              <w:rPr>
                <w:rFonts w:eastAsiaTheme="minorHAnsi"/>
                <w:sz w:val="20"/>
                <w:szCs w:val="20"/>
                <w:lang w:val="en-US"/>
              </w:rPr>
            </w:pPr>
            <w:r w:rsidRPr="00250E94">
              <w:rPr>
                <w:rFonts w:eastAsiaTheme="minorHAnsi"/>
                <w:sz w:val="20"/>
                <w:szCs w:val="20"/>
                <w:lang w:val="en-US"/>
              </w:rPr>
              <w:t>Not recorded</w:t>
            </w:r>
          </w:p>
        </w:tc>
        <w:tc>
          <w:tcPr>
            <w:tcW w:w="1256" w:type="dxa"/>
            <w:tcBorders>
              <w:top w:val="single" w:sz="4" w:space="0" w:color="000000"/>
              <w:left w:val="single" w:sz="4" w:space="0" w:color="auto"/>
              <w:bottom w:val="single" w:sz="4" w:space="0" w:color="000000"/>
              <w:right w:val="single" w:sz="4" w:space="0" w:color="auto"/>
            </w:tcBorders>
            <w:vAlign w:val="bottom"/>
          </w:tcPr>
          <w:p w14:paraId="523C1939" w14:textId="77777777" w:rsidR="00E73BD8" w:rsidRPr="00250E94" w:rsidRDefault="00E73BD8" w:rsidP="00B27F75">
            <w:pPr>
              <w:widowControl w:val="0"/>
              <w:spacing w:after="200" w:line="240" w:lineRule="auto"/>
              <w:jc w:val="center"/>
              <w:rPr>
                <w:rFonts w:eastAsiaTheme="minorHAnsi"/>
                <w:sz w:val="20"/>
                <w:szCs w:val="20"/>
                <w:lang w:val="en-US"/>
              </w:rPr>
            </w:pPr>
            <w:r w:rsidRPr="00250E94">
              <w:rPr>
                <w:rFonts w:eastAsiaTheme="minorHAnsi"/>
                <w:sz w:val="20"/>
                <w:szCs w:val="20"/>
                <w:lang w:val="en-US"/>
              </w:rPr>
              <w:t>No information</w:t>
            </w:r>
          </w:p>
        </w:tc>
        <w:tc>
          <w:tcPr>
            <w:tcW w:w="3690" w:type="dxa"/>
            <w:tcBorders>
              <w:top w:val="single" w:sz="4" w:space="0" w:color="000000"/>
              <w:left w:val="single" w:sz="4" w:space="0" w:color="auto"/>
              <w:bottom w:val="single" w:sz="4" w:space="0" w:color="000000"/>
              <w:right w:val="single" w:sz="4" w:space="0" w:color="auto"/>
            </w:tcBorders>
            <w:vAlign w:val="bottom"/>
          </w:tcPr>
          <w:p w14:paraId="66A06EAE" w14:textId="77777777" w:rsidR="00E73BD8" w:rsidRPr="00250E94" w:rsidRDefault="00E73BD8" w:rsidP="00B27F75">
            <w:pPr>
              <w:widowControl w:val="0"/>
              <w:spacing w:after="200" w:line="240" w:lineRule="auto"/>
              <w:rPr>
                <w:rFonts w:eastAsiaTheme="minorHAnsi"/>
                <w:sz w:val="20"/>
                <w:szCs w:val="20"/>
                <w:lang w:val="en-US"/>
              </w:rPr>
            </w:pPr>
            <w:r w:rsidRPr="00250E94">
              <w:rPr>
                <w:rFonts w:eastAsiaTheme="minorHAnsi"/>
                <w:sz w:val="20"/>
                <w:szCs w:val="20"/>
                <w:lang w:val="en-US"/>
              </w:rPr>
              <w:t>Mount Carmel region</w:t>
            </w:r>
          </w:p>
        </w:tc>
        <w:tc>
          <w:tcPr>
            <w:tcW w:w="1530" w:type="dxa"/>
            <w:tcBorders>
              <w:top w:val="single" w:sz="4" w:space="0" w:color="000000"/>
              <w:left w:val="single" w:sz="4" w:space="0" w:color="auto"/>
              <w:bottom w:val="single" w:sz="4" w:space="0" w:color="000000"/>
              <w:right w:val="single" w:sz="4" w:space="0" w:color="auto"/>
            </w:tcBorders>
            <w:vAlign w:val="bottom"/>
          </w:tcPr>
          <w:p w14:paraId="33C2F449" w14:textId="77777777" w:rsidR="00E73BD8" w:rsidRPr="00250E94" w:rsidRDefault="00E73BD8" w:rsidP="00B27F75">
            <w:pPr>
              <w:widowControl w:val="0"/>
              <w:spacing w:after="200" w:line="240" w:lineRule="auto"/>
              <w:jc w:val="center"/>
              <w:rPr>
                <w:rFonts w:eastAsiaTheme="minorHAnsi"/>
                <w:sz w:val="20"/>
                <w:szCs w:val="20"/>
                <w:lang w:val="en-US"/>
              </w:rPr>
            </w:pPr>
            <w:r w:rsidRPr="00250E94">
              <w:rPr>
                <w:rFonts w:eastAsiaTheme="minorHAnsi"/>
                <w:sz w:val="20"/>
                <w:szCs w:val="20"/>
                <w:lang w:val="en-US"/>
              </w:rPr>
              <w:t>N.D. (should be -)</w:t>
            </w:r>
          </w:p>
        </w:tc>
        <w:tc>
          <w:tcPr>
            <w:tcW w:w="1440" w:type="dxa"/>
            <w:tcBorders>
              <w:top w:val="single" w:sz="4" w:space="0" w:color="000000"/>
              <w:left w:val="single" w:sz="4" w:space="0" w:color="auto"/>
              <w:bottom w:val="single" w:sz="4" w:space="0" w:color="000000"/>
              <w:right w:val="single" w:sz="4" w:space="0" w:color="auto"/>
            </w:tcBorders>
          </w:tcPr>
          <w:p w14:paraId="59225DA6" w14:textId="77777777" w:rsidR="00E73BD8" w:rsidRPr="00250E94" w:rsidRDefault="00E73BD8" w:rsidP="00B27F75">
            <w:pPr>
              <w:widowControl w:val="0"/>
              <w:spacing w:after="200" w:line="240" w:lineRule="auto"/>
              <w:jc w:val="center"/>
              <w:rPr>
                <w:rFonts w:eastAsiaTheme="minorHAnsi"/>
                <w:b/>
                <w:sz w:val="20"/>
                <w:szCs w:val="20"/>
                <w:lang w:val="en-US"/>
              </w:rPr>
            </w:pPr>
            <w:r w:rsidRPr="00250E94">
              <w:rPr>
                <w:rFonts w:eastAsiaTheme="minorHAnsi"/>
                <w:b/>
                <w:sz w:val="20"/>
                <w:szCs w:val="20"/>
                <w:lang w:val="en-US"/>
              </w:rPr>
              <w:t>No information</w:t>
            </w:r>
          </w:p>
        </w:tc>
      </w:tr>
      <w:tr w:rsidR="00E73BD8" w:rsidRPr="00250E94" w14:paraId="447E8D5D" w14:textId="77777777" w:rsidTr="00B27F75">
        <w:trPr>
          <w:trHeight w:hRule="exact" w:val="316"/>
        </w:trPr>
        <w:tc>
          <w:tcPr>
            <w:tcW w:w="1633" w:type="dxa"/>
            <w:tcBorders>
              <w:top w:val="single" w:sz="4" w:space="0" w:color="000000"/>
              <w:left w:val="single" w:sz="4" w:space="0" w:color="auto"/>
              <w:bottom w:val="single" w:sz="4" w:space="0" w:color="000000"/>
              <w:right w:val="single" w:sz="4" w:space="0" w:color="auto"/>
            </w:tcBorders>
            <w:vAlign w:val="bottom"/>
          </w:tcPr>
          <w:p w14:paraId="50A4E17D" w14:textId="77777777" w:rsidR="00E73BD8" w:rsidRPr="00250E94" w:rsidRDefault="00E73BD8" w:rsidP="00B27F75">
            <w:pPr>
              <w:widowControl w:val="0"/>
              <w:spacing w:after="200" w:line="240" w:lineRule="auto"/>
              <w:rPr>
                <w:rFonts w:eastAsiaTheme="minorHAnsi"/>
                <w:sz w:val="20"/>
                <w:szCs w:val="20"/>
                <w:lang w:val="en-US"/>
              </w:rPr>
            </w:pPr>
            <w:r w:rsidRPr="00250E94">
              <w:rPr>
                <w:rFonts w:eastAsiaTheme="minorHAnsi"/>
                <w:sz w:val="20"/>
                <w:szCs w:val="20"/>
                <w:lang w:val="en-US"/>
              </w:rPr>
              <w:t>4958, JH858</w:t>
            </w:r>
          </w:p>
        </w:tc>
        <w:tc>
          <w:tcPr>
            <w:tcW w:w="2408" w:type="dxa"/>
            <w:tcBorders>
              <w:top w:val="single" w:sz="4" w:space="0" w:color="000000"/>
              <w:left w:val="single" w:sz="4" w:space="0" w:color="auto"/>
              <w:bottom w:val="single" w:sz="4" w:space="0" w:color="000000"/>
              <w:right w:val="single" w:sz="4" w:space="0" w:color="auto"/>
            </w:tcBorders>
            <w:vAlign w:val="bottom"/>
          </w:tcPr>
          <w:p w14:paraId="606B662E" w14:textId="77777777" w:rsidR="00E73BD8" w:rsidRPr="00250E94" w:rsidRDefault="00E73BD8" w:rsidP="00B27F75">
            <w:pPr>
              <w:widowControl w:val="0"/>
              <w:spacing w:after="200" w:line="240" w:lineRule="auto"/>
              <w:rPr>
                <w:rFonts w:eastAsiaTheme="minorHAnsi"/>
                <w:sz w:val="20"/>
                <w:szCs w:val="20"/>
                <w:lang w:val="en-US"/>
              </w:rPr>
            </w:pPr>
            <w:r w:rsidRPr="00250E94">
              <w:rPr>
                <w:rFonts w:eastAsiaTheme="minorHAnsi"/>
                <w:sz w:val="20"/>
                <w:szCs w:val="20"/>
                <w:lang w:val="en-US"/>
              </w:rPr>
              <w:t>Southern Palestine</w:t>
            </w:r>
          </w:p>
        </w:tc>
        <w:tc>
          <w:tcPr>
            <w:tcW w:w="2524" w:type="dxa"/>
            <w:tcBorders>
              <w:top w:val="single" w:sz="4" w:space="0" w:color="000000"/>
              <w:left w:val="single" w:sz="4" w:space="0" w:color="auto"/>
              <w:bottom w:val="single" w:sz="4" w:space="0" w:color="000000"/>
              <w:right w:val="single" w:sz="4" w:space="0" w:color="auto"/>
            </w:tcBorders>
            <w:vAlign w:val="bottom"/>
          </w:tcPr>
          <w:p w14:paraId="133BD086" w14:textId="77777777" w:rsidR="00E73BD8" w:rsidRPr="00250E94" w:rsidRDefault="00E73BD8" w:rsidP="00B27F75">
            <w:pPr>
              <w:widowControl w:val="0"/>
              <w:spacing w:after="200" w:line="240" w:lineRule="auto"/>
              <w:rPr>
                <w:rFonts w:eastAsiaTheme="minorHAnsi"/>
                <w:sz w:val="20"/>
                <w:szCs w:val="20"/>
                <w:lang w:val="en-US"/>
              </w:rPr>
            </w:pPr>
            <w:bookmarkStart w:id="77" w:name="_Hlk8370468"/>
            <w:r w:rsidRPr="00250E94">
              <w:rPr>
                <w:rFonts w:eastAsiaTheme="minorHAnsi"/>
                <w:sz w:val="20"/>
                <w:szCs w:val="20"/>
                <w:lang w:val="en-US"/>
              </w:rPr>
              <w:t>Not recorded</w:t>
            </w:r>
            <w:bookmarkEnd w:id="77"/>
          </w:p>
        </w:tc>
        <w:tc>
          <w:tcPr>
            <w:tcW w:w="1256" w:type="dxa"/>
            <w:tcBorders>
              <w:top w:val="single" w:sz="4" w:space="0" w:color="000000"/>
              <w:left w:val="single" w:sz="4" w:space="0" w:color="auto"/>
              <w:bottom w:val="single" w:sz="4" w:space="0" w:color="000000"/>
              <w:right w:val="single" w:sz="4" w:space="0" w:color="auto"/>
            </w:tcBorders>
            <w:vAlign w:val="bottom"/>
          </w:tcPr>
          <w:p w14:paraId="78BB6809" w14:textId="77777777" w:rsidR="00E73BD8" w:rsidRPr="00250E94" w:rsidRDefault="00E73BD8" w:rsidP="00B27F75">
            <w:pPr>
              <w:widowControl w:val="0"/>
              <w:spacing w:after="200" w:line="240" w:lineRule="auto"/>
              <w:jc w:val="center"/>
              <w:rPr>
                <w:rFonts w:eastAsiaTheme="minorHAnsi"/>
                <w:sz w:val="20"/>
                <w:szCs w:val="20"/>
                <w:lang w:val="en-US"/>
              </w:rPr>
            </w:pPr>
            <w:r w:rsidRPr="00250E94">
              <w:rPr>
                <w:rFonts w:eastAsiaTheme="minorHAnsi"/>
                <w:sz w:val="20"/>
                <w:szCs w:val="20"/>
                <w:lang w:val="en-US"/>
              </w:rPr>
              <w:t>No information</w:t>
            </w:r>
          </w:p>
        </w:tc>
        <w:tc>
          <w:tcPr>
            <w:tcW w:w="3690" w:type="dxa"/>
            <w:tcBorders>
              <w:top w:val="single" w:sz="4" w:space="0" w:color="000000"/>
              <w:left w:val="single" w:sz="4" w:space="0" w:color="auto"/>
              <w:bottom w:val="single" w:sz="4" w:space="0" w:color="000000"/>
              <w:right w:val="single" w:sz="4" w:space="0" w:color="auto"/>
            </w:tcBorders>
            <w:vAlign w:val="bottom"/>
          </w:tcPr>
          <w:p w14:paraId="48932CC9" w14:textId="77777777" w:rsidR="00E73BD8" w:rsidRPr="00250E94" w:rsidRDefault="00E73BD8" w:rsidP="00B27F75">
            <w:pPr>
              <w:widowControl w:val="0"/>
              <w:spacing w:after="200" w:line="240" w:lineRule="auto"/>
              <w:rPr>
                <w:rFonts w:eastAsiaTheme="minorHAnsi"/>
                <w:sz w:val="20"/>
                <w:szCs w:val="20"/>
                <w:lang w:val="en-US"/>
              </w:rPr>
            </w:pPr>
            <w:r w:rsidRPr="00250E94">
              <w:rPr>
                <w:rFonts w:eastAsiaTheme="minorHAnsi"/>
                <w:sz w:val="20"/>
                <w:szCs w:val="20"/>
                <w:lang w:val="en-US"/>
              </w:rPr>
              <w:t>Lebanon east of the coast line Beirut-Byblos</w:t>
            </w:r>
          </w:p>
        </w:tc>
        <w:tc>
          <w:tcPr>
            <w:tcW w:w="1530" w:type="dxa"/>
            <w:tcBorders>
              <w:top w:val="single" w:sz="4" w:space="0" w:color="000000"/>
              <w:left w:val="single" w:sz="4" w:space="0" w:color="auto"/>
              <w:bottom w:val="single" w:sz="4" w:space="0" w:color="000000"/>
              <w:right w:val="single" w:sz="4" w:space="0" w:color="auto"/>
            </w:tcBorders>
            <w:vAlign w:val="bottom"/>
          </w:tcPr>
          <w:p w14:paraId="5129FD40" w14:textId="77777777" w:rsidR="00E73BD8" w:rsidRPr="00250E94" w:rsidRDefault="00E73BD8" w:rsidP="00B27F75">
            <w:pPr>
              <w:widowControl w:val="0"/>
              <w:spacing w:after="200" w:line="240" w:lineRule="auto"/>
              <w:jc w:val="center"/>
              <w:rPr>
                <w:rFonts w:eastAsiaTheme="minorHAnsi"/>
                <w:sz w:val="20"/>
                <w:szCs w:val="20"/>
                <w:lang w:val="en-US"/>
              </w:rPr>
            </w:pPr>
            <w:r w:rsidRPr="00250E94">
              <w:rPr>
                <w:rFonts w:eastAsiaTheme="minorHAnsi"/>
                <w:sz w:val="20"/>
                <w:szCs w:val="20"/>
                <w:lang w:val="en-US"/>
              </w:rPr>
              <w:t>-</w:t>
            </w:r>
          </w:p>
        </w:tc>
        <w:tc>
          <w:tcPr>
            <w:tcW w:w="1440" w:type="dxa"/>
            <w:tcBorders>
              <w:top w:val="single" w:sz="4" w:space="0" w:color="000000"/>
              <w:left w:val="single" w:sz="4" w:space="0" w:color="auto"/>
              <w:bottom w:val="single" w:sz="4" w:space="0" w:color="000000"/>
              <w:right w:val="single" w:sz="4" w:space="0" w:color="auto"/>
            </w:tcBorders>
          </w:tcPr>
          <w:p w14:paraId="52E55F1C" w14:textId="77777777" w:rsidR="00E73BD8" w:rsidRPr="00250E94" w:rsidRDefault="00E73BD8" w:rsidP="00B27F75">
            <w:pPr>
              <w:widowControl w:val="0"/>
              <w:spacing w:after="200" w:line="240" w:lineRule="auto"/>
              <w:jc w:val="center"/>
              <w:rPr>
                <w:rFonts w:eastAsiaTheme="minorHAnsi"/>
                <w:b/>
                <w:sz w:val="20"/>
                <w:szCs w:val="20"/>
                <w:lang w:val="en-US"/>
              </w:rPr>
            </w:pPr>
            <w:r w:rsidRPr="00250E94">
              <w:rPr>
                <w:rFonts w:eastAsiaTheme="minorHAnsi"/>
                <w:b/>
                <w:sz w:val="20"/>
                <w:szCs w:val="20"/>
                <w:lang w:val="en-US"/>
              </w:rPr>
              <w:t>No information</w:t>
            </w:r>
          </w:p>
        </w:tc>
      </w:tr>
      <w:tr w:rsidR="00E73BD8" w:rsidRPr="00250E94" w14:paraId="475F5DA1" w14:textId="77777777" w:rsidTr="00B27F75">
        <w:trPr>
          <w:trHeight w:hRule="exact" w:val="271"/>
        </w:trPr>
        <w:tc>
          <w:tcPr>
            <w:tcW w:w="1633" w:type="dxa"/>
            <w:tcBorders>
              <w:top w:val="single" w:sz="4" w:space="0" w:color="000000"/>
              <w:left w:val="single" w:sz="4" w:space="0" w:color="auto"/>
              <w:bottom w:val="single" w:sz="4" w:space="0" w:color="000000"/>
              <w:right w:val="single" w:sz="4" w:space="0" w:color="auto"/>
            </w:tcBorders>
          </w:tcPr>
          <w:p w14:paraId="4601FA9B" w14:textId="77777777" w:rsidR="00E73BD8" w:rsidRPr="00250E94" w:rsidRDefault="00E73BD8" w:rsidP="00B27F75">
            <w:pPr>
              <w:widowControl w:val="0"/>
              <w:spacing w:after="200" w:line="240" w:lineRule="auto"/>
              <w:rPr>
                <w:rFonts w:eastAsiaTheme="minorHAnsi"/>
                <w:sz w:val="20"/>
                <w:szCs w:val="20"/>
                <w:lang w:val="en-US"/>
              </w:rPr>
            </w:pPr>
            <w:r w:rsidRPr="00250E94">
              <w:rPr>
                <w:rFonts w:eastAsiaTheme="minorHAnsi"/>
                <w:sz w:val="20"/>
                <w:szCs w:val="20"/>
                <w:lang w:val="en-US"/>
              </w:rPr>
              <w:t>4972, JH717</w:t>
            </w:r>
          </w:p>
        </w:tc>
        <w:tc>
          <w:tcPr>
            <w:tcW w:w="2408" w:type="dxa"/>
            <w:tcBorders>
              <w:top w:val="single" w:sz="4" w:space="0" w:color="000000"/>
              <w:left w:val="single" w:sz="4" w:space="0" w:color="auto"/>
              <w:bottom w:val="single" w:sz="4" w:space="0" w:color="000000"/>
              <w:right w:val="single" w:sz="4" w:space="0" w:color="auto"/>
            </w:tcBorders>
          </w:tcPr>
          <w:p w14:paraId="54F7F3A2" w14:textId="77777777" w:rsidR="00E73BD8" w:rsidRPr="00250E94" w:rsidRDefault="00E73BD8" w:rsidP="00B27F75">
            <w:pPr>
              <w:widowControl w:val="0"/>
              <w:spacing w:after="200" w:line="240" w:lineRule="auto"/>
              <w:rPr>
                <w:rFonts w:eastAsiaTheme="minorHAnsi"/>
                <w:sz w:val="20"/>
                <w:szCs w:val="20"/>
                <w:lang w:val="en-US"/>
              </w:rPr>
            </w:pPr>
            <w:r w:rsidRPr="00250E94">
              <w:rPr>
                <w:rFonts w:eastAsiaTheme="minorHAnsi"/>
                <w:sz w:val="20"/>
                <w:szCs w:val="20"/>
                <w:lang w:val="en-US"/>
              </w:rPr>
              <w:t>? (possibly Southern Palestine)</w:t>
            </w:r>
          </w:p>
        </w:tc>
        <w:tc>
          <w:tcPr>
            <w:tcW w:w="2524" w:type="dxa"/>
            <w:tcBorders>
              <w:top w:val="single" w:sz="4" w:space="0" w:color="000000"/>
              <w:left w:val="single" w:sz="4" w:space="0" w:color="auto"/>
              <w:bottom w:val="single" w:sz="4" w:space="0" w:color="000000"/>
              <w:right w:val="single" w:sz="4" w:space="0" w:color="auto"/>
            </w:tcBorders>
          </w:tcPr>
          <w:p w14:paraId="474A7A33" w14:textId="77777777" w:rsidR="00E73BD8" w:rsidRPr="00250E94" w:rsidRDefault="00E73BD8" w:rsidP="00B27F75">
            <w:pPr>
              <w:widowControl w:val="0"/>
              <w:spacing w:after="200" w:line="240" w:lineRule="auto"/>
              <w:rPr>
                <w:rFonts w:eastAsiaTheme="minorHAnsi"/>
                <w:sz w:val="20"/>
                <w:szCs w:val="20"/>
                <w:lang w:val="en-US"/>
              </w:rPr>
            </w:pPr>
            <w:r w:rsidRPr="00250E94">
              <w:rPr>
                <w:rFonts w:eastAsiaTheme="minorHAnsi"/>
                <w:sz w:val="20"/>
                <w:szCs w:val="20"/>
                <w:lang w:val="en-US"/>
              </w:rPr>
              <w:t>Palestine?</w:t>
            </w:r>
          </w:p>
        </w:tc>
        <w:tc>
          <w:tcPr>
            <w:tcW w:w="1256" w:type="dxa"/>
            <w:tcBorders>
              <w:top w:val="single" w:sz="4" w:space="0" w:color="000000"/>
              <w:left w:val="single" w:sz="4" w:space="0" w:color="auto"/>
              <w:bottom w:val="single" w:sz="4" w:space="0" w:color="000000"/>
              <w:right w:val="single" w:sz="4" w:space="0" w:color="auto"/>
            </w:tcBorders>
          </w:tcPr>
          <w:p w14:paraId="0F3EC308" w14:textId="77777777" w:rsidR="00E73BD8" w:rsidRPr="00250E94" w:rsidRDefault="00E73BD8" w:rsidP="00B27F75">
            <w:pPr>
              <w:widowControl w:val="0"/>
              <w:spacing w:after="200" w:line="240" w:lineRule="auto"/>
              <w:jc w:val="center"/>
              <w:rPr>
                <w:rFonts w:eastAsiaTheme="minorHAnsi"/>
                <w:sz w:val="20"/>
                <w:szCs w:val="20"/>
                <w:lang w:val="en-US"/>
              </w:rPr>
            </w:pPr>
            <w:r w:rsidRPr="00250E94">
              <w:rPr>
                <w:rFonts w:eastAsiaTheme="minorHAnsi"/>
                <w:sz w:val="20"/>
                <w:szCs w:val="20"/>
                <w:lang w:val="en-US"/>
              </w:rPr>
              <w:t>?</w:t>
            </w:r>
          </w:p>
        </w:tc>
        <w:tc>
          <w:tcPr>
            <w:tcW w:w="3690" w:type="dxa"/>
            <w:tcBorders>
              <w:top w:val="single" w:sz="4" w:space="0" w:color="000000"/>
              <w:left w:val="single" w:sz="4" w:space="0" w:color="auto"/>
              <w:bottom w:val="single" w:sz="4" w:space="0" w:color="000000"/>
              <w:right w:val="single" w:sz="4" w:space="0" w:color="auto"/>
            </w:tcBorders>
          </w:tcPr>
          <w:p w14:paraId="75CCCED6" w14:textId="77777777" w:rsidR="00E73BD8" w:rsidRPr="00250E94" w:rsidRDefault="00E73BD8" w:rsidP="00B27F75">
            <w:pPr>
              <w:widowControl w:val="0"/>
              <w:spacing w:after="200" w:line="240" w:lineRule="auto"/>
              <w:rPr>
                <w:rFonts w:eastAsiaTheme="minorHAnsi"/>
                <w:sz w:val="20"/>
                <w:szCs w:val="20"/>
                <w:lang w:val="en-US"/>
              </w:rPr>
            </w:pPr>
            <w:r w:rsidRPr="00250E94">
              <w:rPr>
                <w:rFonts w:eastAsiaTheme="minorHAnsi"/>
                <w:sz w:val="20"/>
                <w:szCs w:val="20"/>
                <w:lang w:val="en-US"/>
              </w:rPr>
              <w:t>Lebanon east of the coastline Beirut-Byblos</w:t>
            </w:r>
          </w:p>
        </w:tc>
        <w:tc>
          <w:tcPr>
            <w:tcW w:w="1530" w:type="dxa"/>
            <w:tcBorders>
              <w:top w:val="single" w:sz="4" w:space="0" w:color="000000"/>
              <w:left w:val="single" w:sz="4" w:space="0" w:color="auto"/>
              <w:bottom w:val="single" w:sz="4" w:space="0" w:color="000000"/>
              <w:right w:val="single" w:sz="4" w:space="0" w:color="auto"/>
            </w:tcBorders>
            <w:vAlign w:val="bottom"/>
          </w:tcPr>
          <w:p w14:paraId="4D27EC24" w14:textId="77777777" w:rsidR="00E73BD8" w:rsidRPr="00250E94" w:rsidRDefault="00E73BD8" w:rsidP="00B27F75">
            <w:pPr>
              <w:widowControl w:val="0"/>
              <w:spacing w:after="200" w:line="240" w:lineRule="auto"/>
              <w:jc w:val="center"/>
              <w:rPr>
                <w:rFonts w:eastAsiaTheme="minorHAnsi"/>
                <w:sz w:val="20"/>
                <w:szCs w:val="20"/>
                <w:lang w:val="en-US"/>
              </w:rPr>
            </w:pPr>
            <w:r w:rsidRPr="00250E94">
              <w:rPr>
                <w:rFonts w:eastAsiaTheme="minorHAnsi"/>
                <w:sz w:val="20"/>
                <w:szCs w:val="20"/>
                <w:lang w:val="en-US"/>
              </w:rPr>
              <w:t>-</w:t>
            </w:r>
          </w:p>
        </w:tc>
        <w:tc>
          <w:tcPr>
            <w:tcW w:w="1440" w:type="dxa"/>
            <w:tcBorders>
              <w:top w:val="single" w:sz="4" w:space="0" w:color="000000"/>
              <w:left w:val="single" w:sz="4" w:space="0" w:color="auto"/>
              <w:bottom w:val="single" w:sz="4" w:space="0" w:color="000000"/>
              <w:right w:val="single" w:sz="4" w:space="0" w:color="auto"/>
            </w:tcBorders>
          </w:tcPr>
          <w:p w14:paraId="0F9AF96C" w14:textId="77777777" w:rsidR="00E73BD8" w:rsidRPr="00250E94" w:rsidRDefault="00E73BD8" w:rsidP="00B27F75">
            <w:pPr>
              <w:widowControl w:val="0"/>
              <w:spacing w:after="200" w:line="240" w:lineRule="auto"/>
              <w:jc w:val="center"/>
              <w:rPr>
                <w:rFonts w:eastAsiaTheme="minorHAnsi"/>
                <w:b/>
                <w:sz w:val="20"/>
                <w:szCs w:val="20"/>
                <w:lang w:val="en-US"/>
              </w:rPr>
            </w:pPr>
            <w:r w:rsidRPr="00250E94">
              <w:rPr>
                <w:rFonts w:eastAsiaTheme="minorHAnsi"/>
                <w:b/>
                <w:sz w:val="20"/>
                <w:szCs w:val="20"/>
                <w:lang w:val="en-US"/>
              </w:rPr>
              <w:t>-</w:t>
            </w:r>
          </w:p>
        </w:tc>
      </w:tr>
      <w:tr w:rsidR="00E73BD8" w:rsidRPr="00250E94" w14:paraId="4FF367EA" w14:textId="77777777" w:rsidTr="00B27F75">
        <w:trPr>
          <w:trHeight w:hRule="exact" w:val="370"/>
        </w:trPr>
        <w:tc>
          <w:tcPr>
            <w:tcW w:w="1633" w:type="dxa"/>
            <w:tcBorders>
              <w:top w:val="single" w:sz="4" w:space="0" w:color="000000"/>
              <w:left w:val="single" w:sz="4" w:space="0" w:color="auto"/>
              <w:bottom w:val="single" w:sz="4" w:space="0" w:color="000000"/>
              <w:right w:val="single" w:sz="4" w:space="0" w:color="auto"/>
            </w:tcBorders>
          </w:tcPr>
          <w:p w14:paraId="3097C893" w14:textId="77777777" w:rsidR="00E73BD8" w:rsidRPr="00250E94" w:rsidRDefault="00E73BD8" w:rsidP="00B27F75">
            <w:pPr>
              <w:widowControl w:val="0"/>
              <w:spacing w:after="200" w:line="240" w:lineRule="auto"/>
              <w:rPr>
                <w:rFonts w:eastAsiaTheme="minorHAnsi"/>
                <w:sz w:val="20"/>
                <w:szCs w:val="20"/>
                <w:lang w:val="en-US"/>
              </w:rPr>
            </w:pPr>
            <w:r w:rsidRPr="00250E94">
              <w:rPr>
                <w:rFonts w:eastAsiaTheme="minorHAnsi"/>
                <w:sz w:val="20"/>
                <w:szCs w:val="20"/>
                <w:lang w:val="en-US"/>
              </w:rPr>
              <w:t>4978, JH688</w:t>
            </w:r>
          </w:p>
        </w:tc>
        <w:tc>
          <w:tcPr>
            <w:tcW w:w="2408" w:type="dxa"/>
            <w:tcBorders>
              <w:top w:val="single" w:sz="4" w:space="0" w:color="000000"/>
              <w:left w:val="single" w:sz="4" w:space="0" w:color="auto"/>
              <w:bottom w:val="single" w:sz="4" w:space="0" w:color="000000"/>
              <w:right w:val="single" w:sz="4" w:space="0" w:color="auto"/>
            </w:tcBorders>
          </w:tcPr>
          <w:p w14:paraId="49F67622" w14:textId="77777777" w:rsidR="00E73BD8" w:rsidRPr="00250E94" w:rsidRDefault="00E73BD8" w:rsidP="00B27F75">
            <w:pPr>
              <w:widowControl w:val="0"/>
              <w:spacing w:after="200" w:line="240" w:lineRule="auto"/>
              <w:rPr>
                <w:rFonts w:eastAsiaTheme="minorHAnsi"/>
                <w:sz w:val="20"/>
                <w:szCs w:val="20"/>
                <w:lang w:val="en-US"/>
              </w:rPr>
            </w:pPr>
            <w:r w:rsidRPr="00250E94">
              <w:rPr>
                <w:rFonts w:eastAsiaTheme="minorHAnsi"/>
                <w:sz w:val="20"/>
                <w:szCs w:val="20"/>
                <w:lang w:val="en-US"/>
              </w:rPr>
              <w:t>? (possibly Southern Palestine)</w:t>
            </w:r>
          </w:p>
        </w:tc>
        <w:tc>
          <w:tcPr>
            <w:tcW w:w="2524" w:type="dxa"/>
            <w:tcBorders>
              <w:top w:val="single" w:sz="4" w:space="0" w:color="000000"/>
              <w:left w:val="single" w:sz="4" w:space="0" w:color="auto"/>
              <w:bottom w:val="single" w:sz="4" w:space="0" w:color="000000"/>
              <w:right w:val="single" w:sz="4" w:space="0" w:color="auto"/>
            </w:tcBorders>
          </w:tcPr>
          <w:p w14:paraId="0F1EE22D" w14:textId="77777777" w:rsidR="00E73BD8" w:rsidRPr="00250E94" w:rsidRDefault="00E73BD8" w:rsidP="00B27F75">
            <w:pPr>
              <w:widowControl w:val="0"/>
              <w:spacing w:after="200" w:line="240" w:lineRule="auto"/>
              <w:rPr>
                <w:rFonts w:eastAsiaTheme="minorHAnsi"/>
                <w:sz w:val="20"/>
                <w:szCs w:val="20"/>
                <w:lang w:val="en-US"/>
              </w:rPr>
            </w:pPr>
            <w:r w:rsidRPr="00250E94">
              <w:rPr>
                <w:rFonts w:eastAsiaTheme="minorHAnsi"/>
                <w:sz w:val="20"/>
                <w:szCs w:val="20"/>
                <w:lang w:val="en-US"/>
              </w:rPr>
              <w:t>Shephelah (Southern Palestine)</w:t>
            </w:r>
          </w:p>
        </w:tc>
        <w:tc>
          <w:tcPr>
            <w:tcW w:w="1256" w:type="dxa"/>
            <w:tcBorders>
              <w:top w:val="single" w:sz="4" w:space="0" w:color="000000"/>
              <w:left w:val="single" w:sz="4" w:space="0" w:color="auto"/>
              <w:bottom w:val="single" w:sz="4" w:space="0" w:color="000000"/>
              <w:right w:val="single" w:sz="4" w:space="0" w:color="auto"/>
            </w:tcBorders>
          </w:tcPr>
          <w:p w14:paraId="2ED79A70" w14:textId="77777777" w:rsidR="00E73BD8" w:rsidRPr="00250E94" w:rsidRDefault="00E73BD8" w:rsidP="00B27F75">
            <w:pPr>
              <w:widowControl w:val="0"/>
              <w:spacing w:after="200" w:line="240" w:lineRule="auto"/>
              <w:jc w:val="center"/>
              <w:rPr>
                <w:rFonts w:eastAsiaTheme="minorHAnsi"/>
                <w:sz w:val="20"/>
                <w:szCs w:val="20"/>
                <w:lang w:val="en-US"/>
              </w:rPr>
            </w:pPr>
            <w:r w:rsidRPr="00250E94">
              <w:rPr>
                <w:rFonts w:eastAsiaTheme="minorHAnsi"/>
                <w:sz w:val="20"/>
                <w:szCs w:val="20"/>
                <w:lang w:val="en-US"/>
              </w:rPr>
              <w:t>+</w:t>
            </w:r>
          </w:p>
        </w:tc>
        <w:tc>
          <w:tcPr>
            <w:tcW w:w="3690" w:type="dxa"/>
            <w:tcBorders>
              <w:top w:val="single" w:sz="4" w:space="0" w:color="000000"/>
              <w:left w:val="single" w:sz="4" w:space="0" w:color="auto"/>
              <w:bottom w:val="single" w:sz="4" w:space="0" w:color="000000"/>
              <w:right w:val="single" w:sz="4" w:space="0" w:color="auto"/>
            </w:tcBorders>
          </w:tcPr>
          <w:p w14:paraId="204C761C" w14:textId="77777777" w:rsidR="00E73BD8" w:rsidRPr="00250E94" w:rsidRDefault="00E73BD8" w:rsidP="00B27F75">
            <w:pPr>
              <w:widowControl w:val="0"/>
              <w:spacing w:after="200" w:line="240" w:lineRule="auto"/>
              <w:rPr>
                <w:rFonts w:eastAsiaTheme="minorHAnsi"/>
                <w:sz w:val="20"/>
                <w:szCs w:val="20"/>
                <w:lang w:val="en-US"/>
              </w:rPr>
            </w:pPr>
            <w:r w:rsidRPr="00250E94">
              <w:rPr>
                <w:rFonts w:eastAsiaTheme="minorHAnsi"/>
                <w:sz w:val="20"/>
                <w:szCs w:val="20"/>
                <w:lang w:val="en-US"/>
              </w:rPr>
              <w:t>Lebanon east of the coast line Beirut-Byblos</w:t>
            </w:r>
          </w:p>
        </w:tc>
        <w:tc>
          <w:tcPr>
            <w:tcW w:w="1530" w:type="dxa"/>
            <w:tcBorders>
              <w:top w:val="single" w:sz="4" w:space="0" w:color="000000"/>
              <w:left w:val="single" w:sz="4" w:space="0" w:color="auto"/>
              <w:bottom w:val="single" w:sz="4" w:space="0" w:color="000000"/>
              <w:right w:val="single" w:sz="4" w:space="0" w:color="auto"/>
            </w:tcBorders>
            <w:vAlign w:val="bottom"/>
          </w:tcPr>
          <w:p w14:paraId="305BC539" w14:textId="77777777" w:rsidR="00E73BD8" w:rsidRPr="00250E94" w:rsidRDefault="00E73BD8" w:rsidP="00B27F75">
            <w:pPr>
              <w:widowControl w:val="0"/>
              <w:spacing w:after="200" w:line="240" w:lineRule="auto"/>
              <w:jc w:val="center"/>
              <w:rPr>
                <w:rFonts w:eastAsiaTheme="minorHAnsi"/>
                <w:sz w:val="20"/>
                <w:szCs w:val="20"/>
                <w:lang w:val="en-US"/>
              </w:rPr>
            </w:pPr>
            <w:r w:rsidRPr="00250E94">
              <w:rPr>
                <w:rFonts w:eastAsiaTheme="minorHAnsi"/>
                <w:sz w:val="20"/>
                <w:szCs w:val="20"/>
                <w:lang w:val="en-US"/>
              </w:rPr>
              <w:t>N.D. (should be -)</w:t>
            </w:r>
          </w:p>
        </w:tc>
        <w:tc>
          <w:tcPr>
            <w:tcW w:w="1440" w:type="dxa"/>
            <w:tcBorders>
              <w:top w:val="single" w:sz="4" w:space="0" w:color="000000"/>
              <w:left w:val="single" w:sz="4" w:space="0" w:color="auto"/>
              <w:bottom w:val="single" w:sz="4" w:space="0" w:color="000000"/>
              <w:right w:val="single" w:sz="4" w:space="0" w:color="auto"/>
            </w:tcBorders>
          </w:tcPr>
          <w:p w14:paraId="4BA9E643" w14:textId="77777777" w:rsidR="00E73BD8" w:rsidRPr="00250E94" w:rsidRDefault="00E73BD8" w:rsidP="00B27F75">
            <w:pPr>
              <w:widowControl w:val="0"/>
              <w:spacing w:after="200" w:line="240" w:lineRule="auto"/>
              <w:jc w:val="center"/>
              <w:rPr>
                <w:rFonts w:eastAsiaTheme="minorHAnsi"/>
                <w:b/>
                <w:sz w:val="20"/>
                <w:szCs w:val="20"/>
                <w:lang w:val="en-US"/>
              </w:rPr>
            </w:pPr>
            <w:r w:rsidRPr="00250E94">
              <w:rPr>
                <w:rFonts w:eastAsiaTheme="minorHAnsi"/>
                <w:b/>
                <w:sz w:val="20"/>
                <w:szCs w:val="20"/>
                <w:lang w:val="en-US"/>
              </w:rPr>
              <w:t>-</w:t>
            </w:r>
          </w:p>
        </w:tc>
      </w:tr>
      <w:tr w:rsidR="00E73BD8" w:rsidRPr="00250E94" w14:paraId="4709D2F1" w14:textId="77777777" w:rsidTr="00B27F75">
        <w:trPr>
          <w:trHeight w:hRule="exact" w:val="352"/>
        </w:trPr>
        <w:tc>
          <w:tcPr>
            <w:tcW w:w="1633" w:type="dxa"/>
            <w:tcBorders>
              <w:top w:val="single" w:sz="4" w:space="0" w:color="000000"/>
              <w:left w:val="single" w:sz="4" w:space="0" w:color="auto"/>
              <w:bottom w:val="single" w:sz="4" w:space="0" w:color="000000"/>
              <w:right w:val="single" w:sz="4" w:space="0" w:color="auto"/>
            </w:tcBorders>
            <w:vAlign w:val="bottom"/>
          </w:tcPr>
          <w:p w14:paraId="47E6521A" w14:textId="77777777" w:rsidR="00E73BD8" w:rsidRPr="00250E94" w:rsidRDefault="00E73BD8" w:rsidP="00B27F75">
            <w:pPr>
              <w:widowControl w:val="0"/>
              <w:spacing w:after="200" w:line="240" w:lineRule="auto"/>
              <w:rPr>
                <w:rFonts w:eastAsiaTheme="minorHAnsi"/>
                <w:sz w:val="20"/>
                <w:szCs w:val="20"/>
                <w:lang w:val="en-US"/>
              </w:rPr>
            </w:pPr>
            <w:r w:rsidRPr="00250E94">
              <w:rPr>
                <w:rFonts w:eastAsiaTheme="minorHAnsi"/>
                <w:sz w:val="20"/>
                <w:szCs w:val="20"/>
                <w:lang w:val="en-US"/>
              </w:rPr>
              <w:t>4980, JH856</w:t>
            </w:r>
          </w:p>
        </w:tc>
        <w:tc>
          <w:tcPr>
            <w:tcW w:w="2408" w:type="dxa"/>
            <w:tcBorders>
              <w:top w:val="single" w:sz="4" w:space="0" w:color="000000"/>
              <w:left w:val="single" w:sz="4" w:space="0" w:color="auto"/>
              <w:bottom w:val="single" w:sz="4" w:space="0" w:color="000000"/>
              <w:right w:val="single" w:sz="4" w:space="0" w:color="auto"/>
            </w:tcBorders>
            <w:vAlign w:val="bottom"/>
          </w:tcPr>
          <w:p w14:paraId="69E87DF8" w14:textId="77777777" w:rsidR="00E73BD8" w:rsidRPr="00250E94" w:rsidRDefault="00E73BD8" w:rsidP="00B27F75">
            <w:pPr>
              <w:widowControl w:val="0"/>
              <w:spacing w:after="200" w:line="240" w:lineRule="auto"/>
              <w:rPr>
                <w:rFonts w:eastAsiaTheme="minorHAnsi"/>
                <w:sz w:val="20"/>
                <w:szCs w:val="20"/>
                <w:lang w:val="en-US"/>
              </w:rPr>
            </w:pPr>
            <w:r w:rsidRPr="00250E94">
              <w:rPr>
                <w:rFonts w:eastAsiaTheme="minorHAnsi"/>
                <w:sz w:val="20"/>
                <w:szCs w:val="20"/>
                <w:lang w:val="en-US"/>
              </w:rPr>
              <w:t>Nile alluvium</w:t>
            </w:r>
          </w:p>
        </w:tc>
        <w:tc>
          <w:tcPr>
            <w:tcW w:w="2524" w:type="dxa"/>
            <w:tcBorders>
              <w:top w:val="single" w:sz="4" w:space="0" w:color="000000"/>
              <w:left w:val="single" w:sz="4" w:space="0" w:color="auto"/>
              <w:bottom w:val="single" w:sz="4" w:space="0" w:color="000000"/>
              <w:right w:val="single" w:sz="4" w:space="0" w:color="auto"/>
            </w:tcBorders>
            <w:vAlign w:val="bottom"/>
          </w:tcPr>
          <w:p w14:paraId="17357AB9" w14:textId="77777777" w:rsidR="00E73BD8" w:rsidRPr="00250E94" w:rsidRDefault="00E73BD8" w:rsidP="00B27F75">
            <w:pPr>
              <w:widowControl w:val="0"/>
              <w:spacing w:after="200" w:line="240" w:lineRule="auto"/>
              <w:rPr>
                <w:rFonts w:eastAsiaTheme="minorHAnsi"/>
                <w:sz w:val="20"/>
                <w:szCs w:val="20"/>
                <w:lang w:val="en-US"/>
              </w:rPr>
            </w:pPr>
            <w:r w:rsidRPr="00250E94">
              <w:rPr>
                <w:rFonts w:eastAsiaTheme="minorHAnsi"/>
                <w:sz w:val="20"/>
                <w:szCs w:val="20"/>
                <w:lang w:val="en-US"/>
              </w:rPr>
              <w:t>Not recorded</w:t>
            </w:r>
          </w:p>
        </w:tc>
        <w:tc>
          <w:tcPr>
            <w:tcW w:w="1256" w:type="dxa"/>
            <w:tcBorders>
              <w:top w:val="single" w:sz="4" w:space="0" w:color="000000"/>
              <w:left w:val="single" w:sz="4" w:space="0" w:color="auto"/>
              <w:bottom w:val="single" w:sz="4" w:space="0" w:color="000000"/>
              <w:right w:val="single" w:sz="4" w:space="0" w:color="auto"/>
            </w:tcBorders>
            <w:vAlign w:val="bottom"/>
          </w:tcPr>
          <w:p w14:paraId="79B1C6B2" w14:textId="77777777" w:rsidR="00E73BD8" w:rsidRPr="00250E94" w:rsidRDefault="00E73BD8" w:rsidP="00B27F75">
            <w:pPr>
              <w:widowControl w:val="0"/>
              <w:spacing w:after="200" w:line="240" w:lineRule="auto"/>
              <w:jc w:val="center"/>
              <w:rPr>
                <w:rFonts w:eastAsiaTheme="minorHAnsi"/>
                <w:sz w:val="20"/>
                <w:szCs w:val="20"/>
                <w:lang w:val="en-US"/>
              </w:rPr>
            </w:pPr>
            <w:r w:rsidRPr="00250E94">
              <w:rPr>
                <w:rFonts w:eastAsiaTheme="minorHAnsi"/>
                <w:sz w:val="20"/>
                <w:szCs w:val="20"/>
                <w:lang w:val="en-US"/>
              </w:rPr>
              <w:t>No information</w:t>
            </w:r>
          </w:p>
        </w:tc>
        <w:tc>
          <w:tcPr>
            <w:tcW w:w="3690" w:type="dxa"/>
            <w:tcBorders>
              <w:top w:val="single" w:sz="4" w:space="0" w:color="000000"/>
              <w:left w:val="single" w:sz="4" w:space="0" w:color="auto"/>
              <w:bottom w:val="single" w:sz="4" w:space="0" w:color="000000"/>
              <w:right w:val="single" w:sz="4" w:space="0" w:color="auto"/>
            </w:tcBorders>
            <w:vAlign w:val="bottom"/>
          </w:tcPr>
          <w:p w14:paraId="3420A369" w14:textId="77777777" w:rsidR="00E73BD8" w:rsidRPr="00250E94" w:rsidRDefault="00E73BD8" w:rsidP="00B27F75">
            <w:pPr>
              <w:widowControl w:val="0"/>
              <w:spacing w:after="200" w:line="240" w:lineRule="auto"/>
              <w:rPr>
                <w:rFonts w:eastAsiaTheme="minorHAnsi"/>
                <w:sz w:val="20"/>
                <w:szCs w:val="20"/>
                <w:lang w:val="en-US"/>
              </w:rPr>
            </w:pPr>
            <w:r w:rsidRPr="00250E94">
              <w:rPr>
                <w:rFonts w:eastAsiaTheme="minorHAnsi"/>
                <w:sz w:val="20"/>
                <w:szCs w:val="20"/>
                <w:lang w:val="en-US"/>
              </w:rPr>
              <w:t>Nile Valley</w:t>
            </w:r>
          </w:p>
        </w:tc>
        <w:tc>
          <w:tcPr>
            <w:tcW w:w="1530" w:type="dxa"/>
            <w:tcBorders>
              <w:top w:val="single" w:sz="4" w:space="0" w:color="000000"/>
              <w:left w:val="single" w:sz="4" w:space="0" w:color="auto"/>
              <w:bottom w:val="single" w:sz="4" w:space="0" w:color="000000"/>
              <w:right w:val="single" w:sz="4" w:space="0" w:color="auto"/>
            </w:tcBorders>
            <w:vAlign w:val="bottom"/>
          </w:tcPr>
          <w:p w14:paraId="6329B9A6" w14:textId="77777777" w:rsidR="00E73BD8" w:rsidRPr="00250E94" w:rsidRDefault="00E73BD8" w:rsidP="00B27F75">
            <w:pPr>
              <w:widowControl w:val="0"/>
              <w:spacing w:after="200" w:line="240" w:lineRule="auto"/>
              <w:jc w:val="center"/>
              <w:rPr>
                <w:rFonts w:eastAsiaTheme="minorHAnsi"/>
                <w:sz w:val="20"/>
                <w:szCs w:val="20"/>
                <w:lang w:val="en-US"/>
              </w:rPr>
            </w:pPr>
            <w:r w:rsidRPr="00250E94">
              <w:rPr>
                <w:rFonts w:eastAsiaTheme="minorHAnsi"/>
                <w:sz w:val="20"/>
                <w:szCs w:val="20"/>
                <w:lang w:val="en-US"/>
              </w:rPr>
              <w:t>+</w:t>
            </w:r>
          </w:p>
        </w:tc>
        <w:tc>
          <w:tcPr>
            <w:tcW w:w="1440" w:type="dxa"/>
            <w:tcBorders>
              <w:top w:val="single" w:sz="4" w:space="0" w:color="000000"/>
              <w:left w:val="single" w:sz="4" w:space="0" w:color="auto"/>
              <w:bottom w:val="single" w:sz="4" w:space="0" w:color="000000"/>
              <w:right w:val="single" w:sz="4" w:space="0" w:color="auto"/>
            </w:tcBorders>
          </w:tcPr>
          <w:p w14:paraId="52C41295" w14:textId="77777777" w:rsidR="00E73BD8" w:rsidRPr="00250E94" w:rsidRDefault="00E73BD8" w:rsidP="00B27F75">
            <w:pPr>
              <w:widowControl w:val="0"/>
              <w:spacing w:after="200" w:line="240" w:lineRule="auto"/>
              <w:jc w:val="center"/>
              <w:rPr>
                <w:rFonts w:eastAsiaTheme="minorHAnsi"/>
                <w:b/>
                <w:sz w:val="20"/>
                <w:szCs w:val="20"/>
                <w:lang w:val="en-US"/>
              </w:rPr>
            </w:pPr>
            <w:r w:rsidRPr="00250E94">
              <w:rPr>
                <w:rFonts w:eastAsiaTheme="minorHAnsi"/>
                <w:b/>
                <w:sz w:val="20"/>
                <w:szCs w:val="20"/>
                <w:lang w:val="en-US"/>
              </w:rPr>
              <w:t>No information</w:t>
            </w:r>
          </w:p>
        </w:tc>
      </w:tr>
      <w:tr w:rsidR="00E73BD8" w:rsidRPr="00250E94" w14:paraId="0E3BDE9D" w14:textId="77777777" w:rsidTr="00B27F75">
        <w:trPr>
          <w:trHeight w:hRule="exact" w:val="451"/>
        </w:trPr>
        <w:tc>
          <w:tcPr>
            <w:tcW w:w="1633" w:type="dxa"/>
            <w:tcBorders>
              <w:top w:val="single" w:sz="4" w:space="0" w:color="000000"/>
              <w:left w:val="single" w:sz="4" w:space="0" w:color="auto"/>
              <w:bottom w:val="single" w:sz="4" w:space="0" w:color="000000"/>
              <w:right w:val="single" w:sz="4" w:space="0" w:color="auto"/>
            </w:tcBorders>
            <w:vAlign w:val="bottom"/>
          </w:tcPr>
          <w:p w14:paraId="5EEE4835" w14:textId="77777777" w:rsidR="00E73BD8" w:rsidRPr="00250E94" w:rsidRDefault="00E73BD8" w:rsidP="00B27F75">
            <w:pPr>
              <w:widowControl w:val="0"/>
              <w:spacing w:after="200" w:line="240" w:lineRule="auto"/>
              <w:rPr>
                <w:rFonts w:eastAsiaTheme="minorHAnsi"/>
                <w:sz w:val="20"/>
                <w:szCs w:val="20"/>
                <w:lang w:val="en-US"/>
              </w:rPr>
            </w:pPr>
            <w:r w:rsidRPr="00250E94">
              <w:rPr>
                <w:rFonts w:eastAsiaTheme="minorHAnsi"/>
                <w:sz w:val="20"/>
                <w:szCs w:val="20"/>
                <w:lang w:val="en-US"/>
              </w:rPr>
              <w:t>5203, JH703</w:t>
            </w:r>
          </w:p>
        </w:tc>
        <w:tc>
          <w:tcPr>
            <w:tcW w:w="2408" w:type="dxa"/>
            <w:tcBorders>
              <w:top w:val="single" w:sz="4" w:space="0" w:color="000000"/>
              <w:left w:val="single" w:sz="4" w:space="0" w:color="auto"/>
              <w:bottom w:val="single" w:sz="4" w:space="0" w:color="000000"/>
              <w:right w:val="single" w:sz="4" w:space="0" w:color="auto"/>
            </w:tcBorders>
            <w:vAlign w:val="bottom"/>
          </w:tcPr>
          <w:p w14:paraId="7654FF3A" w14:textId="77777777" w:rsidR="00E73BD8" w:rsidRPr="00250E94" w:rsidRDefault="00E73BD8" w:rsidP="00B27F75">
            <w:pPr>
              <w:widowControl w:val="0"/>
              <w:spacing w:after="200" w:line="240" w:lineRule="auto"/>
              <w:rPr>
                <w:rFonts w:eastAsiaTheme="minorHAnsi"/>
                <w:sz w:val="20"/>
                <w:szCs w:val="20"/>
                <w:lang w:val="en-US"/>
              </w:rPr>
            </w:pPr>
            <w:r w:rsidRPr="00250E94">
              <w:rPr>
                <w:rFonts w:eastAsiaTheme="minorHAnsi"/>
                <w:sz w:val="20"/>
                <w:szCs w:val="20"/>
                <w:lang w:val="en-US"/>
              </w:rPr>
              <w:t>Southern Palestine</w:t>
            </w:r>
          </w:p>
        </w:tc>
        <w:tc>
          <w:tcPr>
            <w:tcW w:w="2524" w:type="dxa"/>
            <w:tcBorders>
              <w:top w:val="single" w:sz="4" w:space="0" w:color="000000"/>
              <w:left w:val="single" w:sz="4" w:space="0" w:color="auto"/>
              <w:bottom w:val="single" w:sz="4" w:space="0" w:color="000000"/>
              <w:right w:val="single" w:sz="4" w:space="0" w:color="auto"/>
            </w:tcBorders>
            <w:vAlign w:val="bottom"/>
          </w:tcPr>
          <w:p w14:paraId="35D05C71" w14:textId="77777777" w:rsidR="00E73BD8" w:rsidRPr="00250E94" w:rsidRDefault="00E73BD8" w:rsidP="00B27F75">
            <w:pPr>
              <w:widowControl w:val="0"/>
              <w:spacing w:after="200" w:line="240" w:lineRule="auto"/>
              <w:rPr>
                <w:rFonts w:eastAsiaTheme="minorHAnsi"/>
                <w:sz w:val="20"/>
                <w:szCs w:val="20"/>
                <w:lang w:val="en-US"/>
              </w:rPr>
            </w:pPr>
            <w:r w:rsidRPr="00250E94">
              <w:rPr>
                <w:rFonts w:eastAsiaTheme="minorHAnsi"/>
                <w:sz w:val="20"/>
                <w:szCs w:val="20"/>
                <w:lang w:val="en-US"/>
              </w:rPr>
              <w:t>Shephelah (Southern Palestine)</w:t>
            </w:r>
          </w:p>
        </w:tc>
        <w:tc>
          <w:tcPr>
            <w:tcW w:w="1256" w:type="dxa"/>
            <w:tcBorders>
              <w:top w:val="single" w:sz="4" w:space="0" w:color="000000"/>
              <w:left w:val="single" w:sz="4" w:space="0" w:color="auto"/>
              <w:bottom w:val="single" w:sz="4" w:space="0" w:color="000000"/>
              <w:right w:val="single" w:sz="4" w:space="0" w:color="auto"/>
            </w:tcBorders>
            <w:vAlign w:val="bottom"/>
          </w:tcPr>
          <w:p w14:paraId="15772502" w14:textId="77777777" w:rsidR="00E73BD8" w:rsidRPr="00250E94" w:rsidRDefault="00E73BD8" w:rsidP="00B27F75">
            <w:pPr>
              <w:widowControl w:val="0"/>
              <w:spacing w:after="200" w:line="240" w:lineRule="auto"/>
              <w:jc w:val="center"/>
              <w:rPr>
                <w:rFonts w:eastAsiaTheme="minorHAnsi"/>
                <w:sz w:val="20"/>
                <w:szCs w:val="20"/>
                <w:lang w:val="en-US"/>
              </w:rPr>
            </w:pPr>
            <w:r w:rsidRPr="00250E94">
              <w:rPr>
                <w:rFonts w:eastAsiaTheme="minorHAnsi"/>
                <w:sz w:val="20"/>
                <w:szCs w:val="20"/>
                <w:lang w:val="en-US"/>
              </w:rPr>
              <w:t>+</w:t>
            </w:r>
          </w:p>
        </w:tc>
        <w:tc>
          <w:tcPr>
            <w:tcW w:w="3690" w:type="dxa"/>
            <w:tcBorders>
              <w:top w:val="single" w:sz="4" w:space="0" w:color="000000"/>
              <w:left w:val="single" w:sz="4" w:space="0" w:color="auto"/>
              <w:bottom w:val="single" w:sz="4" w:space="0" w:color="000000"/>
              <w:right w:val="single" w:sz="4" w:space="0" w:color="auto"/>
            </w:tcBorders>
            <w:vAlign w:val="bottom"/>
          </w:tcPr>
          <w:p w14:paraId="16D37BEB" w14:textId="77777777" w:rsidR="00E73BD8" w:rsidRPr="00250E94" w:rsidRDefault="00E73BD8" w:rsidP="00B27F75">
            <w:pPr>
              <w:widowControl w:val="0"/>
              <w:spacing w:after="200" w:line="240" w:lineRule="auto"/>
              <w:rPr>
                <w:rFonts w:eastAsiaTheme="minorHAnsi"/>
                <w:sz w:val="20"/>
                <w:szCs w:val="20"/>
                <w:lang w:val="en-US"/>
              </w:rPr>
            </w:pPr>
            <w:r w:rsidRPr="00250E94">
              <w:rPr>
                <w:rFonts w:eastAsiaTheme="minorHAnsi"/>
                <w:sz w:val="20"/>
                <w:szCs w:val="20"/>
                <w:lang w:val="en-US"/>
              </w:rPr>
              <w:t>Northernmost Israeli coast or the Lebanese coast</w:t>
            </w:r>
          </w:p>
        </w:tc>
        <w:tc>
          <w:tcPr>
            <w:tcW w:w="1530" w:type="dxa"/>
            <w:tcBorders>
              <w:top w:val="single" w:sz="4" w:space="0" w:color="000000"/>
              <w:left w:val="single" w:sz="4" w:space="0" w:color="auto"/>
              <w:bottom w:val="single" w:sz="4" w:space="0" w:color="000000"/>
              <w:right w:val="single" w:sz="4" w:space="0" w:color="auto"/>
            </w:tcBorders>
            <w:vAlign w:val="bottom"/>
          </w:tcPr>
          <w:p w14:paraId="4A45B712" w14:textId="77777777" w:rsidR="00E73BD8" w:rsidRPr="00250E94" w:rsidRDefault="00E73BD8" w:rsidP="00B27F75">
            <w:pPr>
              <w:widowControl w:val="0"/>
              <w:spacing w:after="200" w:line="240" w:lineRule="auto"/>
              <w:jc w:val="center"/>
              <w:rPr>
                <w:rFonts w:eastAsiaTheme="minorHAnsi"/>
                <w:sz w:val="20"/>
                <w:szCs w:val="20"/>
                <w:lang w:val="en-US"/>
              </w:rPr>
            </w:pPr>
            <w:r w:rsidRPr="00250E94">
              <w:rPr>
                <w:rFonts w:eastAsiaTheme="minorHAnsi"/>
                <w:sz w:val="20"/>
                <w:szCs w:val="20"/>
                <w:lang w:val="en-US"/>
              </w:rPr>
              <w:t>-</w:t>
            </w:r>
          </w:p>
        </w:tc>
        <w:tc>
          <w:tcPr>
            <w:tcW w:w="1440" w:type="dxa"/>
            <w:tcBorders>
              <w:top w:val="single" w:sz="4" w:space="0" w:color="000000"/>
              <w:left w:val="single" w:sz="4" w:space="0" w:color="auto"/>
              <w:bottom w:val="single" w:sz="4" w:space="0" w:color="000000"/>
              <w:right w:val="single" w:sz="4" w:space="0" w:color="auto"/>
            </w:tcBorders>
          </w:tcPr>
          <w:p w14:paraId="6F8CF910" w14:textId="77777777" w:rsidR="00E73BD8" w:rsidRPr="00250E94" w:rsidRDefault="00E73BD8" w:rsidP="00B27F75">
            <w:pPr>
              <w:widowControl w:val="0"/>
              <w:spacing w:after="200" w:line="240" w:lineRule="auto"/>
              <w:jc w:val="center"/>
              <w:rPr>
                <w:rFonts w:eastAsiaTheme="minorHAnsi"/>
                <w:b/>
                <w:sz w:val="20"/>
                <w:szCs w:val="20"/>
                <w:lang w:val="en-US"/>
              </w:rPr>
            </w:pPr>
            <w:r w:rsidRPr="00250E94">
              <w:rPr>
                <w:rFonts w:eastAsiaTheme="minorHAnsi"/>
                <w:b/>
                <w:sz w:val="20"/>
                <w:szCs w:val="20"/>
                <w:lang w:val="en-US"/>
              </w:rPr>
              <w:t>-</w:t>
            </w:r>
          </w:p>
        </w:tc>
      </w:tr>
      <w:tr w:rsidR="00E73BD8" w:rsidRPr="00250E94" w14:paraId="5F5F64E6" w14:textId="77777777" w:rsidTr="00B27F75">
        <w:trPr>
          <w:trHeight w:hRule="exact" w:val="271"/>
        </w:trPr>
        <w:tc>
          <w:tcPr>
            <w:tcW w:w="1633" w:type="dxa"/>
            <w:tcBorders>
              <w:top w:val="single" w:sz="4" w:space="0" w:color="000000"/>
              <w:left w:val="single" w:sz="4" w:space="0" w:color="auto"/>
              <w:bottom w:val="single" w:sz="4" w:space="0" w:color="000000"/>
              <w:right w:val="single" w:sz="4" w:space="0" w:color="auto"/>
            </w:tcBorders>
            <w:vAlign w:val="bottom"/>
          </w:tcPr>
          <w:p w14:paraId="29D7F3FE" w14:textId="77777777" w:rsidR="00E73BD8" w:rsidRPr="00250E94" w:rsidRDefault="00E73BD8" w:rsidP="00B27F75">
            <w:pPr>
              <w:widowControl w:val="0"/>
              <w:spacing w:after="200" w:line="240" w:lineRule="auto"/>
              <w:rPr>
                <w:rFonts w:eastAsiaTheme="minorHAnsi"/>
                <w:sz w:val="20"/>
                <w:szCs w:val="20"/>
                <w:lang w:val="en-US"/>
              </w:rPr>
            </w:pPr>
            <w:r w:rsidRPr="00250E94">
              <w:rPr>
                <w:rFonts w:eastAsiaTheme="minorHAnsi"/>
                <w:sz w:val="20"/>
                <w:szCs w:val="20"/>
                <w:lang w:val="en-US"/>
              </w:rPr>
              <w:t>5226A, JH837</w:t>
            </w:r>
          </w:p>
        </w:tc>
        <w:tc>
          <w:tcPr>
            <w:tcW w:w="2408" w:type="dxa"/>
            <w:tcBorders>
              <w:top w:val="single" w:sz="4" w:space="0" w:color="000000"/>
              <w:left w:val="single" w:sz="4" w:space="0" w:color="auto"/>
              <w:bottom w:val="single" w:sz="4" w:space="0" w:color="000000"/>
              <w:right w:val="single" w:sz="4" w:space="0" w:color="auto"/>
            </w:tcBorders>
            <w:vAlign w:val="bottom"/>
          </w:tcPr>
          <w:p w14:paraId="5CB831A3" w14:textId="77777777" w:rsidR="00E73BD8" w:rsidRPr="00250E94" w:rsidRDefault="00E73BD8" w:rsidP="00B27F75">
            <w:pPr>
              <w:widowControl w:val="0"/>
              <w:spacing w:after="200" w:line="240" w:lineRule="auto"/>
              <w:rPr>
                <w:rFonts w:eastAsiaTheme="minorHAnsi"/>
                <w:sz w:val="20"/>
                <w:szCs w:val="20"/>
                <w:lang w:val="en-US"/>
              </w:rPr>
            </w:pPr>
            <w:r w:rsidRPr="00250E94">
              <w:rPr>
                <w:rFonts w:eastAsiaTheme="minorHAnsi"/>
                <w:sz w:val="20"/>
                <w:szCs w:val="20"/>
                <w:lang w:val="en-US"/>
              </w:rPr>
              <w:t>Southern Palestine</w:t>
            </w:r>
          </w:p>
        </w:tc>
        <w:tc>
          <w:tcPr>
            <w:tcW w:w="2524" w:type="dxa"/>
            <w:tcBorders>
              <w:top w:val="single" w:sz="4" w:space="0" w:color="000000"/>
              <w:left w:val="single" w:sz="4" w:space="0" w:color="auto"/>
              <w:bottom w:val="single" w:sz="4" w:space="0" w:color="000000"/>
              <w:right w:val="single" w:sz="4" w:space="0" w:color="auto"/>
            </w:tcBorders>
            <w:vAlign w:val="bottom"/>
          </w:tcPr>
          <w:p w14:paraId="2155164E" w14:textId="77777777" w:rsidR="00E73BD8" w:rsidRPr="00250E94" w:rsidRDefault="00E73BD8" w:rsidP="00B27F75">
            <w:pPr>
              <w:widowControl w:val="0"/>
              <w:spacing w:after="200" w:line="240" w:lineRule="auto"/>
              <w:rPr>
                <w:rFonts w:eastAsiaTheme="minorHAnsi"/>
                <w:sz w:val="20"/>
                <w:szCs w:val="20"/>
                <w:lang w:val="en-US"/>
              </w:rPr>
            </w:pPr>
            <w:r w:rsidRPr="00250E94">
              <w:rPr>
                <w:rFonts w:eastAsiaTheme="minorHAnsi"/>
                <w:sz w:val="20"/>
                <w:szCs w:val="20"/>
                <w:lang w:val="en-US"/>
              </w:rPr>
              <w:t>Not recorded</w:t>
            </w:r>
          </w:p>
        </w:tc>
        <w:tc>
          <w:tcPr>
            <w:tcW w:w="1256" w:type="dxa"/>
            <w:tcBorders>
              <w:top w:val="single" w:sz="4" w:space="0" w:color="000000"/>
              <w:left w:val="single" w:sz="4" w:space="0" w:color="auto"/>
              <w:bottom w:val="single" w:sz="4" w:space="0" w:color="000000"/>
              <w:right w:val="single" w:sz="4" w:space="0" w:color="auto"/>
            </w:tcBorders>
            <w:vAlign w:val="bottom"/>
          </w:tcPr>
          <w:p w14:paraId="58456AE0" w14:textId="77777777" w:rsidR="00E73BD8" w:rsidRPr="00250E94" w:rsidRDefault="00E73BD8" w:rsidP="00B27F75">
            <w:pPr>
              <w:widowControl w:val="0"/>
              <w:spacing w:after="200" w:line="240" w:lineRule="auto"/>
              <w:jc w:val="center"/>
              <w:rPr>
                <w:rFonts w:eastAsiaTheme="minorHAnsi"/>
                <w:sz w:val="20"/>
                <w:szCs w:val="20"/>
                <w:lang w:val="en-US"/>
              </w:rPr>
            </w:pPr>
            <w:r w:rsidRPr="00250E94">
              <w:rPr>
                <w:rFonts w:eastAsiaTheme="minorHAnsi"/>
                <w:sz w:val="20"/>
                <w:szCs w:val="20"/>
                <w:lang w:val="en-US"/>
              </w:rPr>
              <w:t>No information</w:t>
            </w:r>
          </w:p>
        </w:tc>
        <w:tc>
          <w:tcPr>
            <w:tcW w:w="3690" w:type="dxa"/>
            <w:tcBorders>
              <w:top w:val="single" w:sz="4" w:space="0" w:color="000000"/>
              <w:left w:val="single" w:sz="4" w:space="0" w:color="auto"/>
              <w:bottom w:val="single" w:sz="4" w:space="0" w:color="000000"/>
              <w:right w:val="single" w:sz="4" w:space="0" w:color="auto"/>
            </w:tcBorders>
            <w:vAlign w:val="bottom"/>
          </w:tcPr>
          <w:p w14:paraId="7A220A95" w14:textId="77777777" w:rsidR="00E73BD8" w:rsidRPr="00250E94" w:rsidRDefault="00E73BD8" w:rsidP="00B27F75">
            <w:pPr>
              <w:widowControl w:val="0"/>
              <w:spacing w:after="200" w:line="240" w:lineRule="auto"/>
              <w:rPr>
                <w:rFonts w:eastAsiaTheme="minorHAnsi"/>
                <w:sz w:val="20"/>
                <w:szCs w:val="20"/>
                <w:lang w:val="en-US"/>
              </w:rPr>
            </w:pPr>
            <w:r w:rsidRPr="00250E94">
              <w:rPr>
                <w:rFonts w:eastAsiaTheme="minorHAnsi"/>
                <w:sz w:val="20"/>
                <w:szCs w:val="20"/>
                <w:lang w:val="en-US"/>
              </w:rPr>
              <w:t>Undetermined northern Levant</w:t>
            </w:r>
          </w:p>
        </w:tc>
        <w:tc>
          <w:tcPr>
            <w:tcW w:w="1530" w:type="dxa"/>
            <w:tcBorders>
              <w:top w:val="single" w:sz="4" w:space="0" w:color="000000"/>
              <w:left w:val="single" w:sz="4" w:space="0" w:color="auto"/>
              <w:bottom w:val="single" w:sz="4" w:space="0" w:color="000000"/>
              <w:right w:val="single" w:sz="4" w:space="0" w:color="auto"/>
            </w:tcBorders>
            <w:vAlign w:val="bottom"/>
          </w:tcPr>
          <w:p w14:paraId="06FCF5F6" w14:textId="77777777" w:rsidR="00E73BD8" w:rsidRPr="00250E94" w:rsidRDefault="00E73BD8" w:rsidP="00B27F75">
            <w:pPr>
              <w:widowControl w:val="0"/>
              <w:spacing w:after="200" w:line="240" w:lineRule="auto"/>
              <w:jc w:val="center"/>
              <w:rPr>
                <w:rFonts w:eastAsiaTheme="minorHAnsi"/>
                <w:sz w:val="20"/>
                <w:szCs w:val="20"/>
                <w:lang w:val="en-US"/>
              </w:rPr>
            </w:pPr>
            <w:r w:rsidRPr="00250E94">
              <w:rPr>
                <w:rFonts w:eastAsiaTheme="minorHAnsi"/>
                <w:sz w:val="20"/>
                <w:szCs w:val="20"/>
                <w:lang w:val="en-US"/>
              </w:rPr>
              <w:t>-</w:t>
            </w:r>
          </w:p>
        </w:tc>
        <w:tc>
          <w:tcPr>
            <w:tcW w:w="1440" w:type="dxa"/>
            <w:tcBorders>
              <w:top w:val="single" w:sz="4" w:space="0" w:color="000000"/>
              <w:left w:val="single" w:sz="4" w:space="0" w:color="auto"/>
              <w:bottom w:val="single" w:sz="4" w:space="0" w:color="000000"/>
              <w:right w:val="single" w:sz="4" w:space="0" w:color="auto"/>
            </w:tcBorders>
          </w:tcPr>
          <w:p w14:paraId="31748D59" w14:textId="77777777" w:rsidR="00E73BD8" w:rsidRPr="00250E94" w:rsidRDefault="00E73BD8" w:rsidP="00B27F75">
            <w:pPr>
              <w:widowControl w:val="0"/>
              <w:spacing w:after="200" w:line="240" w:lineRule="auto"/>
              <w:jc w:val="center"/>
              <w:rPr>
                <w:rFonts w:eastAsiaTheme="minorHAnsi"/>
                <w:b/>
                <w:sz w:val="20"/>
                <w:szCs w:val="20"/>
                <w:lang w:val="en-US"/>
              </w:rPr>
            </w:pPr>
            <w:r w:rsidRPr="00250E94">
              <w:rPr>
                <w:rFonts w:eastAsiaTheme="minorHAnsi"/>
                <w:b/>
                <w:sz w:val="20"/>
                <w:szCs w:val="20"/>
                <w:lang w:val="en-US"/>
              </w:rPr>
              <w:t>No information</w:t>
            </w:r>
          </w:p>
        </w:tc>
      </w:tr>
      <w:tr w:rsidR="00E73BD8" w:rsidRPr="00250E94" w14:paraId="6806B5FD" w14:textId="77777777" w:rsidTr="00B27F75">
        <w:trPr>
          <w:trHeight w:hRule="exact" w:val="442"/>
        </w:trPr>
        <w:tc>
          <w:tcPr>
            <w:tcW w:w="1633" w:type="dxa"/>
            <w:tcBorders>
              <w:top w:val="single" w:sz="4" w:space="0" w:color="000000"/>
              <w:left w:val="single" w:sz="4" w:space="0" w:color="auto"/>
              <w:bottom w:val="single" w:sz="4" w:space="0" w:color="000000"/>
              <w:right w:val="single" w:sz="4" w:space="0" w:color="auto"/>
            </w:tcBorders>
            <w:vAlign w:val="bottom"/>
          </w:tcPr>
          <w:p w14:paraId="69AEB607" w14:textId="77777777" w:rsidR="00E73BD8" w:rsidRPr="00250E94" w:rsidRDefault="00E73BD8" w:rsidP="00B27F75">
            <w:pPr>
              <w:widowControl w:val="0"/>
              <w:spacing w:after="200" w:line="240" w:lineRule="auto"/>
              <w:rPr>
                <w:rFonts w:eastAsiaTheme="minorHAnsi"/>
                <w:sz w:val="20"/>
                <w:szCs w:val="20"/>
                <w:lang w:val="en-US"/>
              </w:rPr>
            </w:pPr>
            <w:r w:rsidRPr="00250E94">
              <w:rPr>
                <w:rFonts w:eastAsiaTheme="minorHAnsi"/>
                <w:sz w:val="20"/>
                <w:szCs w:val="20"/>
                <w:lang w:val="en-US"/>
              </w:rPr>
              <w:t>5226B, JH838</w:t>
            </w:r>
          </w:p>
        </w:tc>
        <w:tc>
          <w:tcPr>
            <w:tcW w:w="2408" w:type="dxa"/>
            <w:tcBorders>
              <w:top w:val="single" w:sz="4" w:space="0" w:color="000000"/>
              <w:left w:val="single" w:sz="4" w:space="0" w:color="auto"/>
              <w:bottom w:val="single" w:sz="4" w:space="0" w:color="000000"/>
              <w:right w:val="single" w:sz="4" w:space="0" w:color="auto"/>
            </w:tcBorders>
            <w:vAlign w:val="bottom"/>
          </w:tcPr>
          <w:p w14:paraId="6E8A08A6" w14:textId="77777777" w:rsidR="00E73BD8" w:rsidRPr="00250E94" w:rsidRDefault="00E73BD8" w:rsidP="00B27F75">
            <w:pPr>
              <w:widowControl w:val="0"/>
              <w:spacing w:after="200" w:line="240" w:lineRule="auto"/>
              <w:rPr>
                <w:rFonts w:eastAsiaTheme="minorHAnsi"/>
                <w:sz w:val="20"/>
                <w:szCs w:val="20"/>
                <w:lang w:val="en-US"/>
              </w:rPr>
            </w:pPr>
            <w:r w:rsidRPr="00250E94">
              <w:rPr>
                <w:rFonts w:eastAsiaTheme="minorHAnsi"/>
                <w:sz w:val="20"/>
                <w:szCs w:val="20"/>
                <w:lang w:val="en-US"/>
              </w:rPr>
              <w:t>? (possibly Southern Palestine)</w:t>
            </w:r>
          </w:p>
        </w:tc>
        <w:tc>
          <w:tcPr>
            <w:tcW w:w="2524" w:type="dxa"/>
            <w:tcBorders>
              <w:top w:val="single" w:sz="4" w:space="0" w:color="000000"/>
              <w:left w:val="single" w:sz="4" w:space="0" w:color="auto"/>
              <w:bottom w:val="single" w:sz="4" w:space="0" w:color="000000"/>
              <w:right w:val="single" w:sz="4" w:space="0" w:color="auto"/>
            </w:tcBorders>
            <w:vAlign w:val="bottom"/>
          </w:tcPr>
          <w:p w14:paraId="407ACDE7" w14:textId="77777777" w:rsidR="00E73BD8" w:rsidRPr="00250E94" w:rsidRDefault="00E73BD8" w:rsidP="00B27F75">
            <w:pPr>
              <w:widowControl w:val="0"/>
              <w:spacing w:after="200" w:line="240" w:lineRule="auto"/>
              <w:rPr>
                <w:rFonts w:eastAsiaTheme="minorHAnsi"/>
                <w:sz w:val="20"/>
                <w:szCs w:val="20"/>
                <w:lang w:val="en-US"/>
              </w:rPr>
            </w:pPr>
            <w:r w:rsidRPr="00250E94">
              <w:rPr>
                <w:rFonts w:eastAsiaTheme="minorHAnsi"/>
                <w:sz w:val="20"/>
                <w:szCs w:val="20"/>
                <w:lang w:val="en-US"/>
              </w:rPr>
              <w:t>Not recorded</w:t>
            </w:r>
          </w:p>
        </w:tc>
        <w:tc>
          <w:tcPr>
            <w:tcW w:w="1256" w:type="dxa"/>
            <w:tcBorders>
              <w:top w:val="single" w:sz="4" w:space="0" w:color="000000"/>
              <w:left w:val="single" w:sz="4" w:space="0" w:color="auto"/>
              <w:bottom w:val="single" w:sz="4" w:space="0" w:color="000000"/>
              <w:right w:val="single" w:sz="4" w:space="0" w:color="auto"/>
            </w:tcBorders>
            <w:vAlign w:val="bottom"/>
          </w:tcPr>
          <w:p w14:paraId="4239EBA9" w14:textId="77777777" w:rsidR="00E73BD8" w:rsidRPr="00250E94" w:rsidRDefault="00E73BD8" w:rsidP="00B27F75">
            <w:pPr>
              <w:widowControl w:val="0"/>
              <w:spacing w:after="200" w:line="240" w:lineRule="auto"/>
              <w:jc w:val="center"/>
              <w:rPr>
                <w:rFonts w:eastAsiaTheme="minorHAnsi"/>
                <w:sz w:val="20"/>
                <w:szCs w:val="20"/>
                <w:lang w:val="en-US"/>
              </w:rPr>
            </w:pPr>
            <w:r w:rsidRPr="00250E94">
              <w:rPr>
                <w:rFonts w:eastAsiaTheme="minorHAnsi"/>
                <w:sz w:val="20"/>
                <w:szCs w:val="20"/>
                <w:lang w:val="en-US"/>
              </w:rPr>
              <w:t>No information</w:t>
            </w:r>
          </w:p>
        </w:tc>
        <w:tc>
          <w:tcPr>
            <w:tcW w:w="3690" w:type="dxa"/>
            <w:tcBorders>
              <w:top w:val="single" w:sz="4" w:space="0" w:color="000000"/>
              <w:left w:val="single" w:sz="4" w:space="0" w:color="auto"/>
              <w:bottom w:val="single" w:sz="4" w:space="0" w:color="000000"/>
              <w:right w:val="single" w:sz="4" w:space="0" w:color="auto"/>
            </w:tcBorders>
            <w:vAlign w:val="bottom"/>
          </w:tcPr>
          <w:p w14:paraId="43129CF1" w14:textId="77777777" w:rsidR="00E73BD8" w:rsidRPr="00250E94" w:rsidRDefault="00E73BD8" w:rsidP="00B27F75">
            <w:pPr>
              <w:widowControl w:val="0"/>
              <w:spacing w:after="200" w:line="240" w:lineRule="auto"/>
              <w:rPr>
                <w:rFonts w:eastAsiaTheme="minorHAnsi"/>
                <w:sz w:val="20"/>
                <w:szCs w:val="20"/>
                <w:lang w:val="en-US"/>
              </w:rPr>
            </w:pPr>
            <w:r w:rsidRPr="00250E94">
              <w:rPr>
                <w:rFonts w:eastAsiaTheme="minorHAnsi"/>
                <w:sz w:val="20"/>
                <w:szCs w:val="20"/>
                <w:lang w:val="en-US"/>
              </w:rPr>
              <w:t>Undetermined northern Levant</w:t>
            </w:r>
          </w:p>
        </w:tc>
        <w:tc>
          <w:tcPr>
            <w:tcW w:w="1530" w:type="dxa"/>
            <w:tcBorders>
              <w:top w:val="single" w:sz="4" w:space="0" w:color="000000"/>
              <w:left w:val="single" w:sz="4" w:space="0" w:color="auto"/>
              <w:bottom w:val="single" w:sz="4" w:space="0" w:color="000000"/>
              <w:right w:val="single" w:sz="4" w:space="0" w:color="auto"/>
            </w:tcBorders>
            <w:vAlign w:val="bottom"/>
          </w:tcPr>
          <w:p w14:paraId="3C1BAEA1" w14:textId="77777777" w:rsidR="00E73BD8" w:rsidRPr="00250E94" w:rsidRDefault="00E73BD8" w:rsidP="00B27F75">
            <w:pPr>
              <w:widowControl w:val="0"/>
              <w:spacing w:after="200" w:line="240" w:lineRule="auto"/>
              <w:jc w:val="center"/>
              <w:rPr>
                <w:rFonts w:eastAsiaTheme="minorHAnsi"/>
                <w:sz w:val="20"/>
                <w:szCs w:val="20"/>
                <w:lang w:val="en-US"/>
              </w:rPr>
            </w:pPr>
            <w:r w:rsidRPr="00250E94">
              <w:rPr>
                <w:rFonts w:eastAsiaTheme="minorHAnsi"/>
                <w:sz w:val="20"/>
                <w:szCs w:val="20"/>
                <w:lang w:val="en-US"/>
              </w:rPr>
              <w:t>N.D. (should be -)</w:t>
            </w:r>
          </w:p>
        </w:tc>
        <w:tc>
          <w:tcPr>
            <w:tcW w:w="1440" w:type="dxa"/>
            <w:tcBorders>
              <w:top w:val="single" w:sz="4" w:space="0" w:color="000000"/>
              <w:left w:val="single" w:sz="4" w:space="0" w:color="auto"/>
              <w:bottom w:val="single" w:sz="4" w:space="0" w:color="000000"/>
              <w:right w:val="single" w:sz="4" w:space="0" w:color="auto"/>
            </w:tcBorders>
          </w:tcPr>
          <w:p w14:paraId="0D07319B" w14:textId="77777777" w:rsidR="00E73BD8" w:rsidRPr="00250E94" w:rsidRDefault="00E73BD8" w:rsidP="00B27F75">
            <w:pPr>
              <w:widowControl w:val="0"/>
              <w:spacing w:after="200" w:line="240" w:lineRule="auto"/>
              <w:jc w:val="center"/>
              <w:rPr>
                <w:rFonts w:eastAsiaTheme="minorHAnsi"/>
                <w:b/>
                <w:sz w:val="20"/>
                <w:szCs w:val="20"/>
                <w:lang w:val="en-US"/>
              </w:rPr>
            </w:pPr>
            <w:r w:rsidRPr="00250E94">
              <w:rPr>
                <w:rFonts w:eastAsiaTheme="minorHAnsi"/>
                <w:b/>
                <w:sz w:val="20"/>
                <w:szCs w:val="20"/>
                <w:lang w:val="en-US"/>
              </w:rPr>
              <w:t>No information</w:t>
            </w:r>
          </w:p>
        </w:tc>
      </w:tr>
      <w:tr w:rsidR="00E73BD8" w:rsidRPr="00250E94" w14:paraId="37876D3D" w14:textId="77777777" w:rsidTr="00B27F75">
        <w:trPr>
          <w:trHeight w:hRule="exact" w:val="343"/>
        </w:trPr>
        <w:tc>
          <w:tcPr>
            <w:tcW w:w="1633" w:type="dxa"/>
            <w:tcBorders>
              <w:top w:val="single" w:sz="4" w:space="0" w:color="000000"/>
              <w:left w:val="single" w:sz="4" w:space="0" w:color="auto"/>
              <w:bottom w:val="single" w:sz="4" w:space="0" w:color="000000"/>
              <w:right w:val="single" w:sz="4" w:space="0" w:color="auto"/>
            </w:tcBorders>
            <w:vAlign w:val="bottom"/>
          </w:tcPr>
          <w:p w14:paraId="64808AF7" w14:textId="77777777" w:rsidR="00E73BD8" w:rsidRPr="00250E94" w:rsidRDefault="00E73BD8" w:rsidP="00B27F75">
            <w:pPr>
              <w:widowControl w:val="0"/>
              <w:spacing w:after="200" w:line="240" w:lineRule="auto"/>
              <w:rPr>
                <w:rFonts w:eastAsiaTheme="minorHAnsi"/>
                <w:sz w:val="20"/>
                <w:szCs w:val="20"/>
                <w:lang w:val="en-US"/>
              </w:rPr>
            </w:pPr>
            <w:r w:rsidRPr="00250E94">
              <w:rPr>
                <w:rFonts w:eastAsiaTheme="minorHAnsi"/>
                <w:sz w:val="20"/>
                <w:szCs w:val="20"/>
                <w:lang w:val="en-US"/>
              </w:rPr>
              <w:t>5709, PMG124</w:t>
            </w:r>
          </w:p>
        </w:tc>
        <w:tc>
          <w:tcPr>
            <w:tcW w:w="2408" w:type="dxa"/>
            <w:tcBorders>
              <w:top w:val="single" w:sz="4" w:space="0" w:color="000000"/>
              <w:left w:val="single" w:sz="4" w:space="0" w:color="auto"/>
              <w:bottom w:val="single" w:sz="4" w:space="0" w:color="000000"/>
              <w:right w:val="single" w:sz="4" w:space="0" w:color="auto"/>
            </w:tcBorders>
            <w:vAlign w:val="bottom"/>
          </w:tcPr>
          <w:p w14:paraId="326020B0" w14:textId="77777777" w:rsidR="00E73BD8" w:rsidRPr="00250E94" w:rsidRDefault="00E73BD8" w:rsidP="00B27F75">
            <w:pPr>
              <w:widowControl w:val="0"/>
              <w:spacing w:after="200" w:line="240" w:lineRule="auto"/>
              <w:rPr>
                <w:rFonts w:eastAsiaTheme="minorHAnsi"/>
                <w:sz w:val="20"/>
                <w:szCs w:val="20"/>
                <w:lang w:val="en-US"/>
              </w:rPr>
            </w:pPr>
            <w:r w:rsidRPr="00250E94">
              <w:rPr>
                <w:rFonts w:eastAsiaTheme="minorHAnsi"/>
                <w:sz w:val="20"/>
                <w:szCs w:val="20"/>
                <w:lang w:val="en-US"/>
              </w:rPr>
              <w:t>Southern Palestine</w:t>
            </w:r>
          </w:p>
        </w:tc>
        <w:tc>
          <w:tcPr>
            <w:tcW w:w="2524" w:type="dxa"/>
            <w:tcBorders>
              <w:top w:val="single" w:sz="4" w:space="0" w:color="000000"/>
              <w:left w:val="single" w:sz="4" w:space="0" w:color="auto"/>
              <w:bottom w:val="single" w:sz="4" w:space="0" w:color="000000"/>
              <w:right w:val="single" w:sz="4" w:space="0" w:color="auto"/>
            </w:tcBorders>
            <w:vAlign w:val="bottom"/>
          </w:tcPr>
          <w:p w14:paraId="2CD2DC8D" w14:textId="77777777" w:rsidR="00E73BD8" w:rsidRPr="00250E94" w:rsidRDefault="00E73BD8" w:rsidP="00B27F75">
            <w:pPr>
              <w:widowControl w:val="0"/>
              <w:spacing w:after="200" w:line="240" w:lineRule="auto"/>
              <w:rPr>
                <w:rFonts w:eastAsiaTheme="minorHAnsi"/>
                <w:sz w:val="20"/>
                <w:szCs w:val="20"/>
                <w:lang w:val="en-US"/>
              </w:rPr>
            </w:pPr>
            <w:r w:rsidRPr="00250E94">
              <w:rPr>
                <w:rFonts w:eastAsiaTheme="minorHAnsi"/>
                <w:sz w:val="20"/>
                <w:szCs w:val="20"/>
                <w:lang w:val="en-US"/>
              </w:rPr>
              <w:t>Not recorded</w:t>
            </w:r>
          </w:p>
        </w:tc>
        <w:tc>
          <w:tcPr>
            <w:tcW w:w="1256" w:type="dxa"/>
            <w:tcBorders>
              <w:top w:val="single" w:sz="4" w:space="0" w:color="000000"/>
              <w:left w:val="single" w:sz="4" w:space="0" w:color="auto"/>
              <w:bottom w:val="single" w:sz="4" w:space="0" w:color="000000"/>
              <w:right w:val="single" w:sz="4" w:space="0" w:color="auto"/>
            </w:tcBorders>
            <w:vAlign w:val="bottom"/>
          </w:tcPr>
          <w:p w14:paraId="3063D42E" w14:textId="77777777" w:rsidR="00E73BD8" w:rsidRPr="00250E94" w:rsidRDefault="00E73BD8" w:rsidP="00B27F75">
            <w:pPr>
              <w:widowControl w:val="0"/>
              <w:spacing w:after="200" w:line="240" w:lineRule="auto"/>
              <w:jc w:val="center"/>
              <w:rPr>
                <w:rFonts w:eastAsiaTheme="minorHAnsi"/>
                <w:sz w:val="20"/>
                <w:szCs w:val="20"/>
                <w:lang w:val="en-US"/>
              </w:rPr>
            </w:pPr>
            <w:r w:rsidRPr="00250E94">
              <w:rPr>
                <w:rFonts w:eastAsiaTheme="minorHAnsi"/>
                <w:sz w:val="20"/>
                <w:szCs w:val="20"/>
                <w:lang w:val="en-US"/>
              </w:rPr>
              <w:t>No information</w:t>
            </w:r>
          </w:p>
        </w:tc>
        <w:tc>
          <w:tcPr>
            <w:tcW w:w="3690" w:type="dxa"/>
            <w:tcBorders>
              <w:top w:val="single" w:sz="4" w:space="0" w:color="000000"/>
              <w:left w:val="single" w:sz="4" w:space="0" w:color="auto"/>
              <w:bottom w:val="single" w:sz="4" w:space="0" w:color="000000"/>
              <w:right w:val="single" w:sz="4" w:space="0" w:color="auto"/>
            </w:tcBorders>
            <w:vAlign w:val="bottom"/>
          </w:tcPr>
          <w:p w14:paraId="00CFC314" w14:textId="77777777" w:rsidR="00E73BD8" w:rsidRPr="00250E94" w:rsidRDefault="00E73BD8" w:rsidP="00B27F75">
            <w:pPr>
              <w:widowControl w:val="0"/>
              <w:spacing w:after="200" w:line="240" w:lineRule="auto"/>
              <w:rPr>
                <w:rFonts w:eastAsiaTheme="minorHAnsi"/>
                <w:sz w:val="20"/>
                <w:szCs w:val="20"/>
                <w:lang w:val="en-US"/>
              </w:rPr>
            </w:pPr>
            <w:r w:rsidRPr="00250E94">
              <w:rPr>
                <w:rFonts w:eastAsiaTheme="minorHAnsi"/>
                <w:sz w:val="20"/>
                <w:szCs w:val="20"/>
                <w:lang w:val="en-US"/>
              </w:rPr>
              <w:t>Undetermined northern Levant</w:t>
            </w:r>
          </w:p>
        </w:tc>
        <w:tc>
          <w:tcPr>
            <w:tcW w:w="1530" w:type="dxa"/>
            <w:tcBorders>
              <w:top w:val="single" w:sz="4" w:space="0" w:color="000000"/>
              <w:left w:val="single" w:sz="4" w:space="0" w:color="auto"/>
              <w:bottom w:val="single" w:sz="4" w:space="0" w:color="000000"/>
              <w:right w:val="single" w:sz="4" w:space="0" w:color="auto"/>
            </w:tcBorders>
            <w:vAlign w:val="bottom"/>
          </w:tcPr>
          <w:p w14:paraId="3D7B8BFD" w14:textId="77777777" w:rsidR="00E73BD8" w:rsidRPr="00250E94" w:rsidRDefault="00E73BD8" w:rsidP="00B27F75">
            <w:pPr>
              <w:widowControl w:val="0"/>
              <w:spacing w:after="200" w:line="240" w:lineRule="auto"/>
              <w:jc w:val="center"/>
              <w:rPr>
                <w:rFonts w:eastAsiaTheme="minorHAnsi"/>
                <w:sz w:val="20"/>
                <w:szCs w:val="20"/>
                <w:lang w:val="en-US"/>
              </w:rPr>
            </w:pPr>
            <w:r w:rsidRPr="00250E94">
              <w:rPr>
                <w:rFonts w:eastAsiaTheme="minorHAnsi"/>
                <w:sz w:val="20"/>
                <w:szCs w:val="20"/>
                <w:lang w:val="en-US"/>
              </w:rPr>
              <w:t>-</w:t>
            </w:r>
          </w:p>
        </w:tc>
        <w:tc>
          <w:tcPr>
            <w:tcW w:w="1440" w:type="dxa"/>
            <w:tcBorders>
              <w:top w:val="single" w:sz="4" w:space="0" w:color="000000"/>
              <w:left w:val="single" w:sz="4" w:space="0" w:color="auto"/>
              <w:bottom w:val="single" w:sz="4" w:space="0" w:color="000000"/>
              <w:right w:val="single" w:sz="4" w:space="0" w:color="auto"/>
            </w:tcBorders>
          </w:tcPr>
          <w:p w14:paraId="47B64BD1" w14:textId="77777777" w:rsidR="00E73BD8" w:rsidRPr="00250E94" w:rsidRDefault="00E73BD8" w:rsidP="00B27F75">
            <w:pPr>
              <w:widowControl w:val="0"/>
              <w:spacing w:after="200" w:line="240" w:lineRule="auto"/>
              <w:jc w:val="center"/>
              <w:rPr>
                <w:rFonts w:eastAsiaTheme="minorHAnsi"/>
                <w:b/>
                <w:sz w:val="20"/>
                <w:szCs w:val="20"/>
                <w:lang w:val="en-US"/>
              </w:rPr>
            </w:pPr>
            <w:r w:rsidRPr="00250E94">
              <w:rPr>
                <w:rFonts w:eastAsiaTheme="minorHAnsi"/>
                <w:b/>
                <w:sz w:val="20"/>
                <w:szCs w:val="20"/>
                <w:lang w:val="en-US"/>
              </w:rPr>
              <w:t>No information</w:t>
            </w:r>
          </w:p>
        </w:tc>
      </w:tr>
      <w:tr w:rsidR="00E73BD8" w:rsidRPr="00250E94" w14:paraId="1A67E905" w14:textId="77777777" w:rsidTr="00B27F75">
        <w:trPr>
          <w:trHeight w:hRule="exact" w:val="433"/>
        </w:trPr>
        <w:tc>
          <w:tcPr>
            <w:tcW w:w="1633" w:type="dxa"/>
            <w:tcBorders>
              <w:top w:val="single" w:sz="4" w:space="0" w:color="000000"/>
              <w:left w:val="single" w:sz="4" w:space="0" w:color="auto"/>
              <w:bottom w:val="single" w:sz="4" w:space="0" w:color="000000"/>
              <w:right w:val="single" w:sz="4" w:space="0" w:color="auto"/>
            </w:tcBorders>
            <w:vAlign w:val="bottom"/>
          </w:tcPr>
          <w:p w14:paraId="61768E9B" w14:textId="77777777" w:rsidR="00E73BD8" w:rsidRPr="00250E94" w:rsidRDefault="00E73BD8" w:rsidP="00B27F75">
            <w:pPr>
              <w:widowControl w:val="0"/>
              <w:spacing w:after="200" w:line="240" w:lineRule="auto"/>
              <w:rPr>
                <w:rFonts w:eastAsiaTheme="minorHAnsi"/>
                <w:sz w:val="20"/>
                <w:szCs w:val="20"/>
                <w:lang w:val="en-US"/>
              </w:rPr>
            </w:pPr>
            <w:r w:rsidRPr="00250E94">
              <w:rPr>
                <w:rFonts w:eastAsiaTheme="minorHAnsi"/>
                <w:sz w:val="20"/>
                <w:szCs w:val="20"/>
                <w:lang w:val="en-US"/>
              </w:rPr>
              <w:t>5816, PMG131</w:t>
            </w:r>
          </w:p>
        </w:tc>
        <w:tc>
          <w:tcPr>
            <w:tcW w:w="2408" w:type="dxa"/>
            <w:tcBorders>
              <w:top w:val="single" w:sz="4" w:space="0" w:color="000000"/>
              <w:left w:val="single" w:sz="4" w:space="0" w:color="auto"/>
              <w:bottom w:val="single" w:sz="4" w:space="0" w:color="000000"/>
              <w:right w:val="single" w:sz="4" w:space="0" w:color="auto"/>
            </w:tcBorders>
            <w:vAlign w:val="bottom"/>
          </w:tcPr>
          <w:p w14:paraId="1C49BB29" w14:textId="77777777" w:rsidR="00E73BD8" w:rsidRPr="00250E94" w:rsidRDefault="00E73BD8" w:rsidP="00B27F75">
            <w:pPr>
              <w:widowControl w:val="0"/>
              <w:spacing w:after="200" w:line="240" w:lineRule="auto"/>
              <w:rPr>
                <w:rFonts w:eastAsiaTheme="minorHAnsi"/>
                <w:sz w:val="20"/>
                <w:szCs w:val="20"/>
                <w:lang w:val="en-US"/>
              </w:rPr>
            </w:pPr>
            <w:r w:rsidRPr="00250E94">
              <w:rPr>
                <w:rFonts w:eastAsiaTheme="minorHAnsi"/>
                <w:sz w:val="20"/>
                <w:szCs w:val="20"/>
                <w:lang w:val="en-US"/>
              </w:rPr>
              <w:t>? (possibly Southern Palestine)</w:t>
            </w:r>
          </w:p>
        </w:tc>
        <w:tc>
          <w:tcPr>
            <w:tcW w:w="2524" w:type="dxa"/>
            <w:tcBorders>
              <w:top w:val="single" w:sz="4" w:space="0" w:color="000000"/>
              <w:left w:val="single" w:sz="4" w:space="0" w:color="auto"/>
              <w:bottom w:val="single" w:sz="4" w:space="0" w:color="000000"/>
              <w:right w:val="single" w:sz="4" w:space="0" w:color="auto"/>
            </w:tcBorders>
            <w:vAlign w:val="bottom"/>
          </w:tcPr>
          <w:p w14:paraId="539DC81E" w14:textId="77777777" w:rsidR="00E73BD8" w:rsidRPr="00250E94" w:rsidRDefault="00E73BD8" w:rsidP="00B27F75">
            <w:pPr>
              <w:widowControl w:val="0"/>
              <w:spacing w:after="200" w:line="240" w:lineRule="auto"/>
              <w:rPr>
                <w:rFonts w:eastAsiaTheme="minorHAnsi"/>
                <w:sz w:val="20"/>
                <w:szCs w:val="20"/>
                <w:lang w:val="en-US"/>
              </w:rPr>
            </w:pPr>
            <w:r w:rsidRPr="00250E94">
              <w:rPr>
                <w:rFonts w:eastAsiaTheme="minorHAnsi"/>
                <w:sz w:val="20"/>
                <w:szCs w:val="20"/>
                <w:lang w:val="en-US"/>
              </w:rPr>
              <w:t>Shephelah (Southern Palestine)</w:t>
            </w:r>
          </w:p>
        </w:tc>
        <w:tc>
          <w:tcPr>
            <w:tcW w:w="1256" w:type="dxa"/>
            <w:tcBorders>
              <w:top w:val="single" w:sz="4" w:space="0" w:color="000000"/>
              <w:left w:val="single" w:sz="4" w:space="0" w:color="auto"/>
              <w:bottom w:val="single" w:sz="4" w:space="0" w:color="000000"/>
              <w:right w:val="single" w:sz="4" w:space="0" w:color="auto"/>
            </w:tcBorders>
            <w:vAlign w:val="bottom"/>
          </w:tcPr>
          <w:p w14:paraId="671317E3" w14:textId="77777777" w:rsidR="00E73BD8" w:rsidRPr="00250E94" w:rsidRDefault="00E73BD8" w:rsidP="00B27F75">
            <w:pPr>
              <w:widowControl w:val="0"/>
              <w:spacing w:after="200" w:line="240" w:lineRule="auto"/>
              <w:jc w:val="center"/>
              <w:rPr>
                <w:rFonts w:eastAsiaTheme="minorHAnsi"/>
                <w:sz w:val="20"/>
                <w:szCs w:val="20"/>
                <w:lang w:val="en-US"/>
              </w:rPr>
            </w:pPr>
            <w:r w:rsidRPr="00250E94">
              <w:rPr>
                <w:rFonts w:eastAsiaTheme="minorHAnsi"/>
                <w:sz w:val="20"/>
                <w:szCs w:val="20"/>
                <w:lang w:val="en-US"/>
              </w:rPr>
              <w:t>+</w:t>
            </w:r>
          </w:p>
        </w:tc>
        <w:tc>
          <w:tcPr>
            <w:tcW w:w="3690" w:type="dxa"/>
            <w:tcBorders>
              <w:top w:val="single" w:sz="4" w:space="0" w:color="000000"/>
              <w:left w:val="single" w:sz="4" w:space="0" w:color="auto"/>
              <w:bottom w:val="single" w:sz="4" w:space="0" w:color="000000"/>
              <w:right w:val="single" w:sz="4" w:space="0" w:color="auto"/>
            </w:tcBorders>
            <w:vAlign w:val="bottom"/>
          </w:tcPr>
          <w:p w14:paraId="62885C5E" w14:textId="77777777" w:rsidR="00E73BD8" w:rsidRPr="00250E94" w:rsidRDefault="00E73BD8" w:rsidP="00B27F75">
            <w:pPr>
              <w:widowControl w:val="0"/>
              <w:spacing w:after="200" w:line="240" w:lineRule="auto"/>
              <w:rPr>
                <w:rFonts w:eastAsiaTheme="minorHAnsi"/>
                <w:sz w:val="20"/>
                <w:szCs w:val="20"/>
                <w:lang w:val="en-US"/>
              </w:rPr>
            </w:pPr>
            <w:r w:rsidRPr="00250E94">
              <w:rPr>
                <w:rFonts w:eastAsiaTheme="minorHAnsi"/>
                <w:sz w:val="20"/>
                <w:szCs w:val="20"/>
                <w:lang w:val="en-US"/>
              </w:rPr>
              <w:t>Mount Carmel region</w:t>
            </w:r>
          </w:p>
        </w:tc>
        <w:tc>
          <w:tcPr>
            <w:tcW w:w="1530" w:type="dxa"/>
            <w:tcBorders>
              <w:top w:val="single" w:sz="4" w:space="0" w:color="000000"/>
              <w:left w:val="single" w:sz="4" w:space="0" w:color="auto"/>
              <w:bottom w:val="single" w:sz="4" w:space="0" w:color="000000"/>
              <w:right w:val="single" w:sz="4" w:space="0" w:color="auto"/>
            </w:tcBorders>
            <w:vAlign w:val="bottom"/>
          </w:tcPr>
          <w:p w14:paraId="244C7A7C" w14:textId="77777777" w:rsidR="00E73BD8" w:rsidRPr="00250E94" w:rsidRDefault="00E73BD8" w:rsidP="00B27F75">
            <w:pPr>
              <w:widowControl w:val="0"/>
              <w:spacing w:after="200" w:line="240" w:lineRule="auto"/>
              <w:jc w:val="center"/>
              <w:rPr>
                <w:rFonts w:eastAsiaTheme="minorHAnsi"/>
                <w:sz w:val="20"/>
                <w:szCs w:val="20"/>
                <w:lang w:val="en-US"/>
              </w:rPr>
            </w:pPr>
            <w:r w:rsidRPr="00250E94">
              <w:rPr>
                <w:rFonts w:eastAsiaTheme="minorHAnsi"/>
                <w:sz w:val="20"/>
                <w:szCs w:val="20"/>
                <w:lang w:val="en-US"/>
              </w:rPr>
              <w:t>-</w:t>
            </w:r>
          </w:p>
        </w:tc>
        <w:tc>
          <w:tcPr>
            <w:tcW w:w="1440" w:type="dxa"/>
            <w:tcBorders>
              <w:top w:val="single" w:sz="4" w:space="0" w:color="000000"/>
              <w:left w:val="single" w:sz="4" w:space="0" w:color="auto"/>
              <w:bottom w:val="single" w:sz="4" w:space="0" w:color="000000"/>
              <w:right w:val="single" w:sz="4" w:space="0" w:color="auto"/>
            </w:tcBorders>
          </w:tcPr>
          <w:p w14:paraId="2503B5F3" w14:textId="77777777" w:rsidR="00E73BD8" w:rsidRPr="00250E94" w:rsidRDefault="00E73BD8" w:rsidP="00B27F75">
            <w:pPr>
              <w:widowControl w:val="0"/>
              <w:spacing w:after="200" w:line="240" w:lineRule="auto"/>
              <w:jc w:val="center"/>
              <w:rPr>
                <w:rFonts w:eastAsiaTheme="minorHAnsi"/>
                <w:b/>
                <w:sz w:val="20"/>
                <w:szCs w:val="20"/>
                <w:lang w:val="en-US"/>
              </w:rPr>
            </w:pPr>
            <w:r w:rsidRPr="00250E94">
              <w:rPr>
                <w:rFonts w:eastAsiaTheme="minorHAnsi"/>
                <w:b/>
                <w:sz w:val="20"/>
                <w:szCs w:val="20"/>
                <w:lang w:val="en-US"/>
              </w:rPr>
              <w:t>-</w:t>
            </w:r>
          </w:p>
        </w:tc>
      </w:tr>
      <w:tr w:rsidR="00E73BD8" w:rsidRPr="00250E94" w14:paraId="0720AE1C" w14:textId="77777777" w:rsidTr="00B27F75">
        <w:trPr>
          <w:trHeight w:hRule="exact" w:val="442"/>
        </w:trPr>
        <w:tc>
          <w:tcPr>
            <w:tcW w:w="1633" w:type="dxa"/>
            <w:tcBorders>
              <w:top w:val="single" w:sz="4" w:space="0" w:color="000000"/>
              <w:left w:val="single" w:sz="4" w:space="0" w:color="auto"/>
              <w:bottom w:val="single" w:sz="4" w:space="0" w:color="000000"/>
              <w:right w:val="single" w:sz="4" w:space="0" w:color="auto"/>
            </w:tcBorders>
            <w:vAlign w:val="bottom"/>
          </w:tcPr>
          <w:p w14:paraId="1F633212" w14:textId="77777777" w:rsidR="00E73BD8" w:rsidRPr="00250E94" w:rsidRDefault="00E73BD8" w:rsidP="00B27F75">
            <w:pPr>
              <w:widowControl w:val="0"/>
              <w:spacing w:after="200" w:line="240" w:lineRule="auto"/>
              <w:rPr>
                <w:rFonts w:eastAsiaTheme="minorHAnsi"/>
                <w:sz w:val="20"/>
                <w:szCs w:val="20"/>
                <w:lang w:val="en-US"/>
              </w:rPr>
            </w:pPr>
            <w:r w:rsidRPr="00250E94">
              <w:rPr>
                <w:rFonts w:eastAsiaTheme="minorHAnsi"/>
                <w:sz w:val="20"/>
                <w:szCs w:val="20"/>
                <w:lang w:val="en-US"/>
              </w:rPr>
              <w:t>5822Q, JH696</w:t>
            </w:r>
          </w:p>
        </w:tc>
        <w:tc>
          <w:tcPr>
            <w:tcW w:w="2408" w:type="dxa"/>
            <w:tcBorders>
              <w:top w:val="single" w:sz="4" w:space="0" w:color="000000"/>
              <w:left w:val="single" w:sz="4" w:space="0" w:color="auto"/>
              <w:bottom w:val="single" w:sz="4" w:space="0" w:color="000000"/>
              <w:right w:val="single" w:sz="4" w:space="0" w:color="auto"/>
            </w:tcBorders>
            <w:vAlign w:val="bottom"/>
          </w:tcPr>
          <w:p w14:paraId="3B849A6E" w14:textId="77777777" w:rsidR="00E73BD8" w:rsidRPr="00250E94" w:rsidRDefault="00E73BD8" w:rsidP="00B27F75">
            <w:pPr>
              <w:widowControl w:val="0"/>
              <w:spacing w:after="200" w:line="240" w:lineRule="auto"/>
              <w:rPr>
                <w:rFonts w:eastAsiaTheme="minorHAnsi"/>
                <w:sz w:val="20"/>
                <w:szCs w:val="20"/>
                <w:lang w:val="en-US"/>
              </w:rPr>
            </w:pPr>
            <w:r w:rsidRPr="00250E94">
              <w:rPr>
                <w:rFonts w:eastAsiaTheme="minorHAnsi"/>
                <w:sz w:val="20"/>
                <w:szCs w:val="20"/>
                <w:lang w:val="en-US"/>
              </w:rPr>
              <w:t>?</w:t>
            </w:r>
          </w:p>
        </w:tc>
        <w:tc>
          <w:tcPr>
            <w:tcW w:w="2524" w:type="dxa"/>
            <w:tcBorders>
              <w:top w:val="single" w:sz="4" w:space="0" w:color="000000"/>
              <w:left w:val="single" w:sz="4" w:space="0" w:color="auto"/>
              <w:bottom w:val="single" w:sz="4" w:space="0" w:color="000000"/>
              <w:right w:val="single" w:sz="4" w:space="0" w:color="auto"/>
            </w:tcBorders>
            <w:vAlign w:val="bottom"/>
          </w:tcPr>
          <w:p w14:paraId="69254925" w14:textId="77777777" w:rsidR="00E73BD8" w:rsidRPr="00250E94" w:rsidRDefault="00E73BD8" w:rsidP="00B27F75">
            <w:pPr>
              <w:widowControl w:val="0"/>
              <w:spacing w:after="200" w:line="240" w:lineRule="auto"/>
              <w:rPr>
                <w:rFonts w:eastAsiaTheme="minorHAnsi"/>
                <w:sz w:val="20"/>
                <w:szCs w:val="20"/>
                <w:lang w:val="en-US"/>
              </w:rPr>
            </w:pPr>
            <w:r w:rsidRPr="00250E94">
              <w:rPr>
                <w:rFonts w:eastAsiaTheme="minorHAnsi"/>
                <w:sz w:val="20"/>
                <w:szCs w:val="20"/>
                <w:lang w:val="en-US"/>
              </w:rPr>
              <w:t>Shephelah (Southern Palestine)</w:t>
            </w:r>
          </w:p>
        </w:tc>
        <w:tc>
          <w:tcPr>
            <w:tcW w:w="1256" w:type="dxa"/>
            <w:tcBorders>
              <w:top w:val="single" w:sz="4" w:space="0" w:color="000000"/>
              <w:left w:val="single" w:sz="4" w:space="0" w:color="auto"/>
              <w:bottom w:val="single" w:sz="4" w:space="0" w:color="000000"/>
              <w:right w:val="single" w:sz="4" w:space="0" w:color="auto"/>
            </w:tcBorders>
            <w:vAlign w:val="bottom"/>
          </w:tcPr>
          <w:p w14:paraId="567412D1" w14:textId="77777777" w:rsidR="00E73BD8" w:rsidRPr="00250E94" w:rsidRDefault="00E73BD8" w:rsidP="00B27F75">
            <w:pPr>
              <w:widowControl w:val="0"/>
              <w:spacing w:after="200" w:line="240" w:lineRule="auto"/>
              <w:jc w:val="center"/>
              <w:rPr>
                <w:rFonts w:eastAsiaTheme="minorHAnsi"/>
                <w:sz w:val="20"/>
                <w:szCs w:val="20"/>
                <w:lang w:val="en-US"/>
              </w:rPr>
            </w:pPr>
            <w:r w:rsidRPr="00250E94">
              <w:rPr>
                <w:rFonts w:eastAsiaTheme="minorHAnsi"/>
                <w:sz w:val="20"/>
                <w:szCs w:val="20"/>
                <w:lang w:val="en-US"/>
              </w:rPr>
              <w:t>?</w:t>
            </w:r>
          </w:p>
        </w:tc>
        <w:tc>
          <w:tcPr>
            <w:tcW w:w="3690" w:type="dxa"/>
            <w:tcBorders>
              <w:top w:val="single" w:sz="4" w:space="0" w:color="000000"/>
              <w:left w:val="single" w:sz="4" w:space="0" w:color="auto"/>
              <w:bottom w:val="single" w:sz="4" w:space="0" w:color="000000"/>
              <w:right w:val="single" w:sz="4" w:space="0" w:color="auto"/>
            </w:tcBorders>
            <w:vAlign w:val="bottom"/>
          </w:tcPr>
          <w:p w14:paraId="3E02B7DD" w14:textId="77777777" w:rsidR="00E73BD8" w:rsidRPr="00250E94" w:rsidRDefault="00E73BD8" w:rsidP="00B27F75">
            <w:pPr>
              <w:widowControl w:val="0"/>
              <w:spacing w:after="200" w:line="240" w:lineRule="auto"/>
              <w:rPr>
                <w:rFonts w:eastAsiaTheme="minorHAnsi"/>
                <w:sz w:val="20"/>
                <w:szCs w:val="20"/>
                <w:lang w:val="en-US"/>
              </w:rPr>
            </w:pPr>
            <w:bookmarkStart w:id="78" w:name="_Hlk8455865"/>
            <w:r w:rsidRPr="00250E94">
              <w:rPr>
                <w:rFonts w:eastAsiaTheme="minorHAnsi"/>
                <w:sz w:val="20"/>
                <w:szCs w:val="20"/>
                <w:lang w:val="en-US"/>
              </w:rPr>
              <w:t>Northern Lebanese coast (north of Tripoli)</w:t>
            </w:r>
            <w:bookmarkEnd w:id="78"/>
          </w:p>
        </w:tc>
        <w:tc>
          <w:tcPr>
            <w:tcW w:w="1530" w:type="dxa"/>
            <w:tcBorders>
              <w:top w:val="single" w:sz="4" w:space="0" w:color="000000"/>
              <w:left w:val="single" w:sz="4" w:space="0" w:color="auto"/>
              <w:bottom w:val="single" w:sz="4" w:space="0" w:color="000000"/>
              <w:right w:val="single" w:sz="4" w:space="0" w:color="auto"/>
            </w:tcBorders>
            <w:vAlign w:val="bottom"/>
          </w:tcPr>
          <w:p w14:paraId="09546E42" w14:textId="77777777" w:rsidR="00E73BD8" w:rsidRPr="00250E94" w:rsidRDefault="00E73BD8" w:rsidP="00B27F75">
            <w:pPr>
              <w:widowControl w:val="0"/>
              <w:spacing w:after="200" w:line="240" w:lineRule="auto"/>
              <w:jc w:val="center"/>
              <w:rPr>
                <w:rFonts w:eastAsiaTheme="minorHAnsi"/>
                <w:sz w:val="20"/>
                <w:szCs w:val="20"/>
                <w:lang w:val="en-US"/>
              </w:rPr>
            </w:pPr>
            <w:r w:rsidRPr="00250E94">
              <w:rPr>
                <w:rFonts w:eastAsiaTheme="minorHAnsi"/>
                <w:sz w:val="20"/>
                <w:szCs w:val="20"/>
                <w:lang w:val="en-US"/>
              </w:rPr>
              <w:t>N.D. (should be -)</w:t>
            </w:r>
          </w:p>
        </w:tc>
        <w:tc>
          <w:tcPr>
            <w:tcW w:w="1440" w:type="dxa"/>
            <w:tcBorders>
              <w:top w:val="single" w:sz="4" w:space="0" w:color="000000"/>
              <w:left w:val="single" w:sz="4" w:space="0" w:color="auto"/>
              <w:bottom w:val="single" w:sz="4" w:space="0" w:color="000000"/>
              <w:right w:val="single" w:sz="4" w:space="0" w:color="auto"/>
            </w:tcBorders>
          </w:tcPr>
          <w:p w14:paraId="07168CB5" w14:textId="77777777" w:rsidR="00E73BD8" w:rsidRPr="00250E94" w:rsidRDefault="00E73BD8" w:rsidP="00B27F75">
            <w:pPr>
              <w:widowControl w:val="0"/>
              <w:spacing w:after="200" w:line="240" w:lineRule="auto"/>
              <w:jc w:val="center"/>
              <w:rPr>
                <w:rFonts w:eastAsiaTheme="minorHAnsi"/>
                <w:b/>
                <w:sz w:val="20"/>
                <w:szCs w:val="20"/>
                <w:lang w:val="en-US"/>
              </w:rPr>
            </w:pPr>
            <w:r w:rsidRPr="00250E94">
              <w:rPr>
                <w:rFonts w:eastAsiaTheme="minorHAnsi"/>
                <w:b/>
                <w:sz w:val="20"/>
                <w:szCs w:val="20"/>
                <w:lang w:val="en-US"/>
              </w:rPr>
              <w:t>-</w:t>
            </w:r>
          </w:p>
        </w:tc>
      </w:tr>
      <w:tr w:rsidR="00E73BD8" w:rsidRPr="00250E94" w14:paraId="65961D5D" w14:textId="77777777" w:rsidTr="00B27F75">
        <w:trPr>
          <w:trHeight w:hRule="exact" w:val="289"/>
        </w:trPr>
        <w:tc>
          <w:tcPr>
            <w:tcW w:w="1633" w:type="dxa"/>
            <w:tcBorders>
              <w:top w:val="single" w:sz="4" w:space="0" w:color="000000"/>
              <w:left w:val="single" w:sz="4" w:space="0" w:color="auto"/>
              <w:bottom w:val="single" w:sz="4" w:space="0" w:color="000000"/>
              <w:right w:val="single" w:sz="4" w:space="0" w:color="auto"/>
            </w:tcBorders>
            <w:vAlign w:val="bottom"/>
          </w:tcPr>
          <w:p w14:paraId="0BC41E0D" w14:textId="77777777" w:rsidR="00E73BD8" w:rsidRPr="00250E94" w:rsidRDefault="00E73BD8" w:rsidP="00B27F75">
            <w:pPr>
              <w:widowControl w:val="0"/>
              <w:spacing w:after="200" w:line="240" w:lineRule="auto"/>
              <w:rPr>
                <w:rFonts w:eastAsiaTheme="minorHAnsi"/>
                <w:sz w:val="20"/>
                <w:szCs w:val="20"/>
                <w:lang w:val="en-US"/>
              </w:rPr>
            </w:pPr>
            <w:r w:rsidRPr="00250E94">
              <w:rPr>
                <w:rFonts w:eastAsiaTheme="minorHAnsi"/>
                <w:sz w:val="20"/>
                <w:szCs w:val="20"/>
                <w:lang w:val="en-US"/>
              </w:rPr>
              <w:t>5824, PMG123</w:t>
            </w:r>
          </w:p>
        </w:tc>
        <w:tc>
          <w:tcPr>
            <w:tcW w:w="2408" w:type="dxa"/>
            <w:tcBorders>
              <w:top w:val="single" w:sz="4" w:space="0" w:color="000000"/>
              <w:left w:val="single" w:sz="4" w:space="0" w:color="auto"/>
              <w:bottom w:val="single" w:sz="4" w:space="0" w:color="000000"/>
              <w:right w:val="single" w:sz="4" w:space="0" w:color="auto"/>
            </w:tcBorders>
            <w:vAlign w:val="bottom"/>
          </w:tcPr>
          <w:p w14:paraId="7DC17CD6" w14:textId="77777777" w:rsidR="00E73BD8" w:rsidRPr="00250E94" w:rsidRDefault="00E73BD8" w:rsidP="00B27F75">
            <w:pPr>
              <w:widowControl w:val="0"/>
              <w:spacing w:after="200" w:line="240" w:lineRule="auto"/>
              <w:rPr>
                <w:rFonts w:eastAsiaTheme="minorHAnsi"/>
                <w:sz w:val="20"/>
                <w:szCs w:val="20"/>
                <w:lang w:val="en-US"/>
              </w:rPr>
            </w:pPr>
            <w:r w:rsidRPr="00250E94">
              <w:rPr>
                <w:rFonts w:eastAsiaTheme="minorHAnsi"/>
                <w:sz w:val="20"/>
                <w:szCs w:val="20"/>
                <w:lang w:val="en-US"/>
              </w:rPr>
              <w:t>Southern Palestine</w:t>
            </w:r>
          </w:p>
        </w:tc>
        <w:tc>
          <w:tcPr>
            <w:tcW w:w="2524" w:type="dxa"/>
            <w:tcBorders>
              <w:top w:val="single" w:sz="4" w:space="0" w:color="000000"/>
              <w:left w:val="single" w:sz="4" w:space="0" w:color="auto"/>
              <w:bottom w:val="single" w:sz="4" w:space="0" w:color="000000"/>
              <w:right w:val="single" w:sz="4" w:space="0" w:color="auto"/>
            </w:tcBorders>
            <w:vAlign w:val="bottom"/>
          </w:tcPr>
          <w:p w14:paraId="02DF0CB7" w14:textId="77777777" w:rsidR="00E73BD8" w:rsidRPr="00250E94" w:rsidRDefault="00E73BD8" w:rsidP="00B27F75">
            <w:pPr>
              <w:widowControl w:val="0"/>
              <w:spacing w:after="200" w:line="240" w:lineRule="auto"/>
              <w:rPr>
                <w:rFonts w:eastAsiaTheme="minorHAnsi"/>
                <w:sz w:val="20"/>
                <w:szCs w:val="20"/>
                <w:lang w:val="en-US"/>
              </w:rPr>
            </w:pPr>
            <w:r w:rsidRPr="00250E94">
              <w:rPr>
                <w:rFonts w:eastAsiaTheme="minorHAnsi"/>
                <w:sz w:val="20"/>
                <w:szCs w:val="20"/>
                <w:lang w:val="en-US"/>
              </w:rPr>
              <w:t>Not recorded</w:t>
            </w:r>
          </w:p>
        </w:tc>
        <w:tc>
          <w:tcPr>
            <w:tcW w:w="1256" w:type="dxa"/>
            <w:tcBorders>
              <w:top w:val="single" w:sz="4" w:space="0" w:color="000000"/>
              <w:left w:val="single" w:sz="4" w:space="0" w:color="auto"/>
              <w:bottom w:val="single" w:sz="4" w:space="0" w:color="000000"/>
              <w:right w:val="single" w:sz="4" w:space="0" w:color="auto"/>
            </w:tcBorders>
            <w:vAlign w:val="bottom"/>
          </w:tcPr>
          <w:p w14:paraId="41F77C68" w14:textId="77777777" w:rsidR="00E73BD8" w:rsidRPr="00250E94" w:rsidRDefault="00E73BD8" w:rsidP="00B27F75">
            <w:pPr>
              <w:widowControl w:val="0"/>
              <w:spacing w:after="200" w:line="240" w:lineRule="auto"/>
              <w:jc w:val="center"/>
              <w:rPr>
                <w:rFonts w:eastAsiaTheme="minorHAnsi"/>
                <w:sz w:val="20"/>
                <w:szCs w:val="20"/>
                <w:lang w:val="en-US"/>
              </w:rPr>
            </w:pPr>
            <w:r w:rsidRPr="00250E94">
              <w:rPr>
                <w:rFonts w:eastAsiaTheme="minorHAnsi"/>
                <w:sz w:val="20"/>
                <w:szCs w:val="20"/>
                <w:lang w:val="en-US"/>
              </w:rPr>
              <w:t>No information</w:t>
            </w:r>
          </w:p>
        </w:tc>
        <w:tc>
          <w:tcPr>
            <w:tcW w:w="3690" w:type="dxa"/>
            <w:tcBorders>
              <w:top w:val="single" w:sz="4" w:space="0" w:color="000000"/>
              <w:left w:val="single" w:sz="4" w:space="0" w:color="auto"/>
              <w:bottom w:val="single" w:sz="4" w:space="0" w:color="000000"/>
              <w:right w:val="single" w:sz="4" w:space="0" w:color="auto"/>
            </w:tcBorders>
            <w:vAlign w:val="bottom"/>
          </w:tcPr>
          <w:p w14:paraId="4E6C76E7" w14:textId="77777777" w:rsidR="00E73BD8" w:rsidRPr="00250E94" w:rsidRDefault="00E73BD8" w:rsidP="00B27F75">
            <w:pPr>
              <w:widowControl w:val="0"/>
              <w:spacing w:after="200" w:line="240" w:lineRule="auto"/>
              <w:rPr>
                <w:rFonts w:eastAsiaTheme="minorHAnsi"/>
                <w:sz w:val="20"/>
                <w:szCs w:val="20"/>
                <w:lang w:val="en-US"/>
              </w:rPr>
            </w:pPr>
            <w:r w:rsidRPr="00250E94">
              <w:rPr>
                <w:rFonts w:eastAsiaTheme="minorHAnsi"/>
                <w:sz w:val="20"/>
                <w:szCs w:val="20"/>
                <w:lang w:val="en-US"/>
              </w:rPr>
              <w:t>Northern Israel or the Lebanese coast</w:t>
            </w:r>
          </w:p>
        </w:tc>
        <w:tc>
          <w:tcPr>
            <w:tcW w:w="1530" w:type="dxa"/>
            <w:tcBorders>
              <w:top w:val="single" w:sz="4" w:space="0" w:color="000000"/>
              <w:left w:val="single" w:sz="4" w:space="0" w:color="auto"/>
              <w:bottom w:val="single" w:sz="4" w:space="0" w:color="000000"/>
              <w:right w:val="single" w:sz="4" w:space="0" w:color="auto"/>
            </w:tcBorders>
            <w:vAlign w:val="bottom"/>
          </w:tcPr>
          <w:p w14:paraId="321A5396" w14:textId="77777777" w:rsidR="00E73BD8" w:rsidRPr="00250E94" w:rsidRDefault="00E73BD8" w:rsidP="00B27F75">
            <w:pPr>
              <w:widowControl w:val="0"/>
              <w:spacing w:after="200" w:line="240" w:lineRule="auto"/>
              <w:jc w:val="center"/>
              <w:rPr>
                <w:rFonts w:eastAsiaTheme="minorHAnsi"/>
                <w:sz w:val="20"/>
                <w:szCs w:val="20"/>
                <w:lang w:val="en-US"/>
              </w:rPr>
            </w:pPr>
            <w:r w:rsidRPr="00250E94">
              <w:rPr>
                <w:rFonts w:eastAsiaTheme="minorHAnsi"/>
                <w:sz w:val="20"/>
                <w:szCs w:val="20"/>
                <w:lang w:val="en-US"/>
              </w:rPr>
              <w:t>-</w:t>
            </w:r>
          </w:p>
        </w:tc>
        <w:tc>
          <w:tcPr>
            <w:tcW w:w="1440" w:type="dxa"/>
            <w:tcBorders>
              <w:top w:val="single" w:sz="4" w:space="0" w:color="000000"/>
              <w:left w:val="single" w:sz="4" w:space="0" w:color="auto"/>
              <w:bottom w:val="single" w:sz="4" w:space="0" w:color="000000"/>
              <w:right w:val="single" w:sz="4" w:space="0" w:color="auto"/>
            </w:tcBorders>
          </w:tcPr>
          <w:p w14:paraId="370568E6" w14:textId="77777777" w:rsidR="00E73BD8" w:rsidRPr="00250E94" w:rsidRDefault="00E73BD8" w:rsidP="00B27F75">
            <w:pPr>
              <w:widowControl w:val="0"/>
              <w:spacing w:after="200" w:line="240" w:lineRule="auto"/>
              <w:jc w:val="center"/>
              <w:rPr>
                <w:rFonts w:eastAsiaTheme="minorHAnsi"/>
                <w:b/>
                <w:sz w:val="20"/>
                <w:szCs w:val="20"/>
                <w:lang w:val="en-US"/>
              </w:rPr>
            </w:pPr>
            <w:r w:rsidRPr="00250E94">
              <w:rPr>
                <w:rFonts w:eastAsiaTheme="minorHAnsi"/>
                <w:b/>
                <w:sz w:val="20"/>
                <w:szCs w:val="20"/>
                <w:lang w:val="en-US"/>
              </w:rPr>
              <w:t>No information</w:t>
            </w:r>
          </w:p>
        </w:tc>
      </w:tr>
      <w:tr w:rsidR="00E73BD8" w:rsidRPr="00250E94" w14:paraId="1136883B" w14:textId="77777777" w:rsidTr="00B27F75">
        <w:trPr>
          <w:trHeight w:hRule="exact" w:val="451"/>
        </w:trPr>
        <w:tc>
          <w:tcPr>
            <w:tcW w:w="1633" w:type="dxa"/>
            <w:tcBorders>
              <w:top w:val="single" w:sz="4" w:space="0" w:color="000000"/>
              <w:left w:val="single" w:sz="4" w:space="0" w:color="auto"/>
              <w:bottom w:val="single" w:sz="4" w:space="0" w:color="000000"/>
              <w:right w:val="single" w:sz="4" w:space="0" w:color="auto"/>
            </w:tcBorders>
          </w:tcPr>
          <w:p w14:paraId="4AF16282" w14:textId="77777777" w:rsidR="00E73BD8" w:rsidRPr="00250E94" w:rsidRDefault="00E73BD8" w:rsidP="00B27F75">
            <w:pPr>
              <w:widowControl w:val="0"/>
              <w:spacing w:after="200" w:line="240" w:lineRule="auto"/>
              <w:rPr>
                <w:rFonts w:eastAsiaTheme="minorHAnsi"/>
                <w:sz w:val="20"/>
                <w:szCs w:val="20"/>
                <w:lang w:val="en-US"/>
              </w:rPr>
            </w:pPr>
            <w:r w:rsidRPr="00250E94">
              <w:rPr>
                <w:rFonts w:eastAsiaTheme="minorHAnsi"/>
                <w:sz w:val="20"/>
                <w:szCs w:val="20"/>
                <w:lang w:val="en-US"/>
              </w:rPr>
              <w:t>5826, PMG117</w:t>
            </w:r>
          </w:p>
        </w:tc>
        <w:tc>
          <w:tcPr>
            <w:tcW w:w="2408" w:type="dxa"/>
            <w:tcBorders>
              <w:top w:val="single" w:sz="4" w:space="0" w:color="000000"/>
              <w:left w:val="single" w:sz="4" w:space="0" w:color="auto"/>
              <w:bottom w:val="single" w:sz="4" w:space="0" w:color="000000"/>
              <w:right w:val="single" w:sz="4" w:space="0" w:color="auto"/>
            </w:tcBorders>
          </w:tcPr>
          <w:p w14:paraId="295CFA62" w14:textId="77777777" w:rsidR="00E73BD8" w:rsidRPr="00250E94" w:rsidRDefault="00E73BD8" w:rsidP="00B27F75">
            <w:pPr>
              <w:widowControl w:val="0"/>
              <w:spacing w:after="200" w:line="240" w:lineRule="auto"/>
              <w:rPr>
                <w:rFonts w:eastAsiaTheme="minorHAnsi"/>
                <w:sz w:val="20"/>
                <w:szCs w:val="20"/>
                <w:lang w:val="en-US"/>
              </w:rPr>
            </w:pPr>
            <w:r w:rsidRPr="00250E94">
              <w:rPr>
                <w:rFonts w:eastAsiaTheme="minorHAnsi"/>
                <w:sz w:val="20"/>
                <w:szCs w:val="20"/>
                <w:lang w:val="en-US"/>
              </w:rPr>
              <w:t>Southern Palestine</w:t>
            </w:r>
          </w:p>
        </w:tc>
        <w:tc>
          <w:tcPr>
            <w:tcW w:w="2524" w:type="dxa"/>
            <w:tcBorders>
              <w:top w:val="single" w:sz="4" w:space="0" w:color="000000"/>
              <w:left w:val="single" w:sz="4" w:space="0" w:color="auto"/>
              <w:bottom w:val="single" w:sz="4" w:space="0" w:color="000000"/>
              <w:right w:val="single" w:sz="4" w:space="0" w:color="auto"/>
            </w:tcBorders>
            <w:vAlign w:val="bottom"/>
          </w:tcPr>
          <w:p w14:paraId="6EFE3D51" w14:textId="77777777" w:rsidR="00E73BD8" w:rsidRPr="00250E94" w:rsidRDefault="00E73BD8" w:rsidP="00B27F75">
            <w:pPr>
              <w:widowControl w:val="0"/>
              <w:spacing w:after="200" w:line="240" w:lineRule="auto"/>
              <w:rPr>
                <w:rFonts w:eastAsiaTheme="minorHAnsi"/>
                <w:sz w:val="20"/>
                <w:szCs w:val="20"/>
                <w:lang w:val="en-US"/>
              </w:rPr>
            </w:pPr>
            <w:r w:rsidRPr="00250E94">
              <w:rPr>
                <w:rFonts w:eastAsiaTheme="minorHAnsi"/>
                <w:sz w:val="20"/>
                <w:szCs w:val="20"/>
                <w:lang w:val="en-US"/>
              </w:rPr>
              <w:t>Central and Southern Hill Country</w:t>
            </w:r>
          </w:p>
        </w:tc>
        <w:tc>
          <w:tcPr>
            <w:tcW w:w="1256" w:type="dxa"/>
            <w:tcBorders>
              <w:top w:val="single" w:sz="4" w:space="0" w:color="000000"/>
              <w:left w:val="single" w:sz="4" w:space="0" w:color="auto"/>
              <w:bottom w:val="single" w:sz="4" w:space="0" w:color="000000"/>
              <w:right w:val="single" w:sz="4" w:space="0" w:color="auto"/>
            </w:tcBorders>
            <w:vAlign w:val="bottom"/>
          </w:tcPr>
          <w:p w14:paraId="2A8343B7" w14:textId="77777777" w:rsidR="00E73BD8" w:rsidRPr="00250E94" w:rsidRDefault="00E73BD8" w:rsidP="00B27F75">
            <w:pPr>
              <w:widowControl w:val="0"/>
              <w:spacing w:after="200" w:line="240" w:lineRule="auto"/>
              <w:jc w:val="center"/>
              <w:rPr>
                <w:rFonts w:eastAsiaTheme="minorHAnsi"/>
                <w:sz w:val="20"/>
                <w:szCs w:val="20"/>
                <w:lang w:val="en-US"/>
              </w:rPr>
            </w:pPr>
            <w:r w:rsidRPr="00250E94">
              <w:rPr>
                <w:rFonts w:eastAsiaTheme="minorHAnsi"/>
                <w:sz w:val="20"/>
                <w:szCs w:val="20"/>
                <w:lang w:val="en-US"/>
              </w:rPr>
              <w:t>-</w:t>
            </w:r>
          </w:p>
        </w:tc>
        <w:tc>
          <w:tcPr>
            <w:tcW w:w="3690" w:type="dxa"/>
            <w:tcBorders>
              <w:top w:val="single" w:sz="4" w:space="0" w:color="000000"/>
              <w:left w:val="single" w:sz="4" w:space="0" w:color="auto"/>
              <w:bottom w:val="single" w:sz="4" w:space="0" w:color="000000"/>
              <w:right w:val="single" w:sz="4" w:space="0" w:color="auto"/>
            </w:tcBorders>
          </w:tcPr>
          <w:p w14:paraId="08C97D8E" w14:textId="77777777" w:rsidR="00E73BD8" w:rsidRPr="00250E94" w:rsidRDefault="00E73BD8" w:rsidP="00B27F75">
            <w:pPr>
              <w:widowControl w:val="0"/>
              <w:spacing w:after="200" w:line="240" w:lineRule="auto"/>
              <w:rPr>
                <w:rFonts w:eastAsiaTheme="minorHAnsi"/>
                <w:sz w:val="20"/>
                <w:szCs w:val="20"/>
                <w:lang w:val="en-US"/>
              </w:rPr>
            </w:pPr>
            <w:r w:rsidRPr="00250E94">
              <w:rPr>
                <w:rFonts w:eastAsiaTheme="minorHAnsi"/>
                <w:sz w:val="20"/>
                <w:szCs w:val="20"/>
                <w:lang w:val="en-US"/>
              </w:rPr>
              <w:t>Lebanon east of the coast line Beirut-Byblos</w:t>
            </w:r>
          </w:p>
        </w:tc>
        <w:tc>
          <w:tcPr>
            <w:tcW w:w="1530" w:type="dxa"/>
            <w:tcBorders>
              <w:top w:val="single" w:sz="4" w:space="0" w:color="000000"/>
              <w:left w:val="single" w:sz="4" w:space="0" w:color="auto"/>
              <w:bottom w:val="single" w:sz="4" w:space="0" w:color="000000"/>
              <w:right w:val="single" w:sz="4" w:space="0" w:color="auto"/>
            </w:tcBorders>
            <w:vAlign w:val="bottom"/>
          </w:tcPr>
          <w:p w14:paraId="34E25B4C" w14:textId="77777777" w:rsidR="00E73BD8" w:rsidRPr="00250E94" w:rsidRDefault="00E73BD8" w:rsidP="00B27F75">
            <w:pPr>
              <w:widowControl w:val="0"/>
              <w:spacing w:after="200" w:line="240" w:lineRule="auto"/>
              <w:jc w:val="center"/>
              <w:rPr>
                <w:rFonts w:eastAsiaTheme="minorHAnsi"/>
                <w:sz w:val="20"/>
                <w:szCs w:val="20"/>
                <w:lang w:val="en-US"/>
              </w:rPr>
            </w:pPr>
            <w:r w:rsidRPr="00250E94">
              <w:rPr>
                <w:rFonts w:eastAsiaTheme="minorHAnsi"/>
                <w:sz w:val="20"/>
                <w:szCs w:val="20"/>
                <w:lang w:val="en-US"/>
              </w:rPr>
              <w:t>-</w:t>
            </w:r>
          </w:p>
        </w:tc>
        <w:tc>
          <w:tcPr>
            <w:tcW w:w="1440" w:type="dxa"/>
            <w:tcBorders>
              <w:top w:val="single" w:sz="4" w:space="0" w:color="000000"/>
              <w:left w:val="single" w:sz="4" w:space="0" w:color="auto"/>
              <w:bottom w:val="single" w:sz="4" w:space="0" w:color="000000"/>
              <w:right w:val="single" w:sz="4" w:space="0" w:color="auto"/>
            </w:tcBorders>
          </w:tcPr>
          <w:p w14:paraId="6AD53A9D" w14:textId="77777777" w:rsidR="00E73BD8" w:rsidRPr="00250E94" w:rsidRDefault="00E73BD8" w:rsidP="00B27F75">
            <w:pPr>
              <w:widowControl w:val="0"/>
              <w:spacing w:after="200" w:line="240" w:lineRule="auto"/>
              <w:jc w:val="center"/>
              <w:rPr>
                <w:rFonts w:eastAsiaTheme="minorHAnsi"/>
                <w:b/>
                <w:sz w:val="20"/>
                <w:szCs w:val="20"/>
                <w:lang w:val="en-US"/>
              </w:rPr>
            </w:pPr>
            <w:r w:rsidRPr="00250E94">
              <w:rPr>
                <w:rFonts w:eastAsiaTheme="minorHAnsi"/>
                <w:b/>
                <w:sz w:val="20"/>
                <w:szCs w:val="20"/>
                <w:lang w:val="en-US"/>
              </w:rPr>
              <w:t>-</w:t>
            </w:r>
          </w:p>
        </w:tc>
      </w:tr>
      <w:tr w:rsidR="00E73BD8" w:rsidRPr="00250E94" w14:paraId="724E5D7E" w14:textId="77777777" w:rsidTr="00B27F75">
        <w:trPr>
          <w:trHeight w:hRule="exact" w:val="271"/>
        </w:trPr>
        <w:tc>
          <w:tcPr>
            <w:tcW w:w="1633" w:type="dxa"/>
            <w:tcBorders>
              <w:top w:val="single" w:sz="4" w:space="0" w:color="000000"/>
              <w:left w:val="single" w:sz="4" w:space="0" w:color="auto"/>
              <w:bottom w:val="single" w:sz="4" w:space="0" w:color="000000"/>
              <w:right w:val="single" w:sz="4" w:space="0" w:color="auto"/>
            </w:tcBorders>
            <w:vAlign w:val="bottom"/>
          </w:tcPr>
          <w:p w14:paraId="74150830" w14:textId="77777777" w:rsidR="00E73BD8" w:rsidRPr="00250E94" w:rsidRDefault="00E73BD8" w:rsidP="00B27F75">
            <w:pPr>
              <w:widowControl w:val="0"/>
              <w:spacing w:after="200" w:line="240" w:lineRule="auto"/>
              <w:rPr>
                <w:rFonts w:eastAsiaTheme="minorHAnsi"/>
                <w:sz w:val="20"/>
                <w:szCs w:val="20"/>
                <w:lang w:val="en-US"/>
              </w:rPr>
            </w:pPr>
            <w:r w:rsidRPr="00250E94">
              <w:rPr>
                <w:rFonts w:eastAsiaTheme="minorHAnsi"/>
                <w:sz w:val="20"/>
                <w:szCs w:val="20"/>
                <w:lang w:val="en-US"/>
              </w:rPr>
              <w:t>5827, PMG118</w:t>
            </w:r>
          </w:p>
        </w:tc>
        <w:tc>
          <w:tcPr>
            <w:tcW w:w="2408" w:type="dxa"/>
            <w:tcBorders>
              <w:top w:val="single" w:sz="4" w:space="0" w:color="000000"/>
              <w:left w:val="single" w:sz="4" w:space="0" w:color="auto"/>
              <w:bottom w:val="single" w:sz="4" w:space="0" w:color="000000"/>
              <w:right w:val="single" w:sz="4" w:space="0" w:color="auto"/>
            </w:tcBorders>
            <w:vAlign w:val="bottom"/>
          </w:tcPr>
          <w:p w14:paraId="65E80196" w14:textId="77777777" w:rsidR="00E73BD8" w:rsidRPr="00250E94" w:rsidRDefault="00E73BD8" w:rsidP="00B27F75">
            <w:pPr>
              <w:widowControl w:val="0"/>
              <w:spacing w:after="200" w:line="240" w:lineRule="auto"/>
              <w:rPr>
                <w:rFonts w:eastAsiaTheme="minorHAnsi"/>
                <w:sz w:val="20"/>
                <w:szCs w:val="20"/>
                <w:lang w:val="en-US"/>
              </w:rPr>
            </w:pPr>
            <w:r w:rsidRPr="00250E94">
              <w:rPr>
                <w:rFonts w:eastAsiaTheme="minorHAnsi"/>
                <w:sz w:val="20"/>
                <w:szCs w:val="20"/>
                <w:lang w:val="en-US"/>
              </w:rPr>
              <w:t>Southern Palestine</w:t>
            </w:r>
          </w:p>
        </w:tc>
        <w:tc>
          <w:tcPr>
            <w:tcW w:w="2524" w:type="dxa"/>
            <w:tcBorders>
              <w:top w:val="single" w:sz="4" w:space="0" w:color="000000"/>
              <w:left w:val="single" w:sz="4" w:space="0" w:color="auto"/>
              <w:bottom w:val="single" w:sz="4" w:space="0" w:color="000000"/>
              <w:right w:val="single" w:sz="4" w:space="0" w:color="auto"/>
            </w:tcBorders>
            <w:vAlign w:val="bottom"/>
          </w:tcPr>
          <w:p w14:paraId="1091C3EB" w14:textId="77777777" w:rsidR="00E73BD8" w:rsidRPr="00250E94" w:rsidRDefault="00E73BD8" w:rsidP="00B27F75">
            <w:pPr>
              <w:widowControl w:val="0"/>
              <w:spacing w:after="200" w:line="240" w:lineRule="auto"/>
              <w:rPr>
                <w:rFonts w:eastAsiaTheme="minorHAnsi"/>
                <w:sz w:val="20"/>
                <w:szCs w:val="20"/>
                <w:lang w:val="en-US"/>
              </w:rPr>
            </w:pPr>
            <w:r w:rsidRPr="00250E94">
              <w:rPr>
                <w:rFonts w:eastAsiaTheme="minorHAnsi"/>
                <w:sz w:val="20"/>
                <w:szCs w:val="20"/>
                <w:lang w:val="en-US"/>
              </w:rPr>
              <w:t>Not recorded</w:t>
            </w:r>
          </w:p>
        </w:tc>
        <w:tc>
          <w:tcPr>
            <w:tcW w:w="1256" w:type="dxa"/>
            <w:tcBorders>
              <w:top w:val="single" w:sz="4" w:space="0" w:color="000000"/>
              <w:left w:val="single" w:sz="4" w:space="0" w:color="auto"/>
              <w:bottom w:val="single" w:sz="4" w:space="0" w:color="000000"/>
              <w:right w:val="single" w:sz="4" w:space="0" w:color="auto"/>
            </w:tcBorders>
            <w:vAlign w:val="bottom"/>
          </w:tcPr>
          <w:p w14:paraId="4315BB7A" w14:textId="77777777" w:rsidR="00E73BD8" w:rsidRPr="00250E94" w:rsidRDefault="00E73BD8" w:rsidP="00B27F75">
            <w:pPr>
              <w:widowControl w:val="0"/>
              <w:spacing w:after="200" w:line="240" w:lineRule="auto"/>
              <w:jc w:val="center"/>
              <w:rPr>
                <w:rFonts w:eastAsiaTheme="minorHAnsi"/>
                <w:sz w:val="20"/>
                <w:szCs w:val="20"/>
                <w:lang w:val="en-US"/>
              </w:rPr>
            </w:pPr>
            <w:r w:rsidRPr="00250E94">
              <w:rPr>
                <w:rFonts w:eastAsiaTheme="minorHAnsi"/>
                <w:sz w:val="20"/>
                <w:szCs w:val="20"/>
                <w:lang w:val="en-US"/>
              </w:rPr>
              <w:t>No information</w:t>
            </w:r>
          </w:p>
        </w:tc>
        <w:tc>
          <w:tcPr>
            <w:tcW w:w="3690" w:type="dxa"/>
            <w:tcBorders>
              <w:top w:val="single" w:sz="4" w:space="0" w:color="000000"/>
              <w:left w:val="single" w:sz="4" w:space="0" w:color="auto"/>
              <w:bottom w:val="single" w:sz="4" w:space="0" w:color="000000"/>
              <w:right w:val="single" w:sz="4" w:space="0" w:color="auto"/>
            </w:tcBorders>
            <w:vAlign w:val="bottom"/>
          </w:tcPr>
          <w:p w14:paraId="33C61E7F" w14:textId="77777777" w:rsidR="00E73BD8" w:rsidRPr="00250E94" w:rsidRDefault="00E73BD8" w:rsidP="00B27F75">
            <w:pPr>
              <w:widowControl w:val="0"/>
              <w:spacing w:after="200" w:line="240" w:lineRule="auto"/>
              <w:rPr>
                <w:rFonts w:eastAsiaTheme="minorHAnsi"/>
                <w:sz w:val="20"/>
                <w:szCs w:val="20"/>
                <w:lang w:val="en-US"/>
              </w:rPr>
            </w:pPr>
            <w:r w:rsidRPr="00250E94">
              <w:rPr>
                <w:rFonts w:eastAsiaTheme="minorHAnsi"/>
                <w:sz w:val="20"/>
                <w:szCs w:val="20"/>
                <w:lang w:val="en-US"/>
              </w:rPr>
              <w:t>Nile Valley</w:t>
            </w:r>
          </w:p>
        </w:tc>
        <w:tc>
          <w:tcPr>
            <w:tcW w:w="1530" w:type="dxa"/>
            <w:tcBorders>
              <w:top w:val="single" w:sz="4" w:space="0" w:color="000000"/>
              <w:left w:val="single" w:sz="4" w:space="0" w:color="auto"/>
              <w:bottom w:val="single" w:sz="4" w:space="0" w:color="000000"/>
              <w:right w:val="single" w:sz="4" w:space="0" w:color="auto"/>
            </w:tcBorders>
            <w:vAlign w:val="bottom"/>
          </w:tcPr>
          <w:p w14:paraId="528CCC8C" w14:textId="77777777" w:rsidR="00E73BD8" w:rsidRPr="00250E94" w:rsidRDefault="00E73BD8" w:rsidP="00B27F75">
            <w:pPr>
              <w:widowControl w:val="0"/>
              <w:spacing w:after="200" w:line="240" w:lineRule="auto"/>
              <w:jc w:val="center"/>
              <w:rPr>
                <w:rFonts w:eastAsiaTheme="minorHAnsi"/>
                <w:sz w:val="20"/>
                <w:szCs w:val="20"/>
                <w:lang w:val="en-US"/>
              </w:rPr>
            </w:pPr>
            <w:r w:rsidRPr="00250E94">
              <w:rPr>
                <w:rFonts w:eastAsiaTheme="minorHAnsi"/>
                <w:sz w:val="20"/>
                <w:szCs w:val="20"/>
                <w:lang w:val="en-US"/>
              </w:rPr>
              <w:t>-</w:t>
            </w:r>
          </w:p>
        </w:tc>
        <w:tc>
          <w:tcPr>
            <w:tcW w:w="1440" w:type="dxa"/>
            <w:tcBorders>
              <w:top w:val="single" w:sz="4" w:space="0" w:color="000000"/>
              <w:left w:val="single" w:sz="4" w:space="0" w:color="auto"/>
              <w:bottom w:val="single" w:sz="4" w:space="0" w:color="000000"/>
              <w:right w:val="single" w:sz="4" w:space="0" w:color="auto"/>
            </w:tcBorders>
          </w:tcPr>
          <w:p w14:paraId="7E8FEB9A" w14:textId="77777777" w:rsidR="00E73BD8" w:rsidRPr="00250E94" w:rsidRDefault="00E73BD8" w:rsidP="00B27F75">
            <w:pPr>
              <w:widowControl w:val="0"/>
              <w:spacing w:after="200" w:line="240" w:lineRule="auto"/>
              <w:jc w:val="center"/>
              <w:rPr>
                <w:rFonts w:eastAsiaTheme="minorHAnsi"/>
                <w:b/>
                <w:sz w:val="20"/>
                <w:szCs w:val="20"/>
                <w:lang w:val="en-US"/>
              </w:rPr>
            </w:pPr>
            <w:r w:rsidRPr="00250E94">
              <w:rPr>
                <w:rFonts w:eastAsiaTheme="minorHAnsi"/>
                <w:b/>
                <w:sz w:val="20"/>
                <w:szCs w:val="20"/>
                <w:lang w:val="en-US"/>
              </w:rPr>
              <w:t>No information</w:t>
            </w:r>
          </w:p>
        </w:tc>
      </w:tr>
      <w:tr w:rsidR="00E73BD8" w:rsidRPr="00250E94" w14:paraId="3513EDC0" w14:textId="77777777" w:rsidTr="00B27F75">
        <w:trPr>
          <w:trHeight w:hRule="exact" w:val="271"/>
        </w:trPr>
        <w:tc>
          <w:tcPr>
            <w:tcW w:w="1633" w:type="dxa"/>
            <w:tcBorders>
              <w:top w:val="single" w:sz="4" w:space="0" w:color="000000"/>
              <w:left w:val="single" w:sz="4" w:space="0" w:color="auto"/>
              <w:bottom w:val="single" w:sz="4" w:space="0" w:color="000000"/>
              <w:right w:val="single" w:sz="4" w:space="0" w:color="auto"/>
            </w:tcBorders>
            <w:vAlign w:val="bottom"/>
          </w:tcPr>
          <w:p w14:paraId="43659000" w14:textId="77777777" w:rsidR="00E73BD8" w:rsidRPr="00250E94" w:rsidRDefault="00E73BD8" w:rsidP="00B27F75">
            <w:pPr>
              <w:widowControl w:val="0"/>
              <w:spacing w:after="200" w:line="240" w:lineRule="auto"/>
              <w:rPr>
                <w:rFonts w:eastAsiaTheme="minorHAnsi"/>
                <w:sz w:val="20"/>
                <w:szCs w:val="20"/>
                <w:lang w:val="en-US"/>
              </w:rPr>
            </w:pPr>
            <w:r w:rsidRPr="00250E94">
              <w:rPr>
                <w:rFonts w:eastAsiaTheme="minorHAnsi"/>
                <w:sz w:val="20"/>
                <w:szCs w:val="20"/>
                <w:lang w:val="en-US"/>
              </w:rPr>
              <w:t>5828, PMGI19</w:t>
            </w:r>
          </w:p>
        </w:tc>
        <w:tc>
          <w:tcPr>
            <w:tcW w:w="2408" w:type="dxa"/>
            <w:tcBorders>
              <w:top w:val="single" w:sz="4" w:space="0" w:color="000000"/>
              <w:left w:val="single" w:sz="4" w:space="0" w:color="auto"/>
              <w:bottom w:val="single" w:sz="4" w:space="0" w:color="000000"/>
              <w:right w:val="single" w:sz="4" w:space="0" w:color="auto"/>
            </w:tcBorders>
            <w:vAlign w:val="bottom"/>
          </w:tcPr>
          <w:p w14:paraId="2A523920" w14:textId="77777777" w:rsidR="00E73BD8" w:rsidRPr="00250E94" w:rsidRDefault="00E73BD8" w:rsidP="00B27F75">
            <w:pPr>
              <w:widowControl w:val="0"/>
              <w:spacing w:after="200" w:line="240" w:lineRule="auto"/>
              <w:rPr>
                <w:rFonts w:eastAsiaTheme="minorHAnsi"/>
                <w:sz w:val="20"/>
                <w:szCs w:val="20"/>
                <w:lang w:val="en-US"/>
              </w:rPr>
            </w:pPr>
            <w:r w:rsidRPr="00250E94">
              <w:rPr>
                <w:rFonts w:eastAsiaTheme="minorHAnsi"/>
                <w:sz w:val="20"/>
                <w:szCs w:val="20"/>
                <w:lang w:val="en-US"/>
              </w:rPr>
              <w:t>Southern Palestine</w:t>
            </w:r>
          </w:p>
        </w:tc>
        <w:tc>
          <w:tcPr>
            <w:tcW w:w="2524" w:type="dxa"/>
            <w:tcBorders>
              <w:top w:val="single" w:sz="4" w:space="0" w:color="000000"/>
              <w:left w:val="single" w:sz="4" w:space="0" w:color="auto"/>
              <w:bottom w:val="single" w:sz="4" w:space="0" w:color="000000"/>
              <w:right w:val="single" w:sz="4" w:space="0" w:color="auto"/>
            </w:tcBorders>
            <w:vAlign w:val="bottom"/>
          </w:tcPr>
          <w:p w14:paraId="2F665465" w14:textId="77777777" w:rsidR="00E73BD8" w:rsidRPr="00250E94" w:rsidRDefault="00E73BD8" w:rsidP="00B27F75">
            <w:pPr>
              <w:widowControl w:val="0"/>
              <w:spacing w:after="200" w:line="240" w:lineRule="auto"/>
              <w:rPr>
                <w:rFonts w:eastAsiaTheme="minorHAnsi"/>
                <w:sz w:val="20"/>
                <w:szCs w:val="20"/>
                <w:lang w:val="en-US"/>
              </w:rPr>
            </w:pPr>
            <w:r w:rsidRPr="00250E94">
              <w:rPr>
                <w:rFonts w:eastAsiaTheme="minorHAnsi"/>
                <w:sz w:val="20"/>
                <w:szCs w:val="20"/>
                <w:lang w:val="en-US"/>
              </w:rPr>
              <w:t>Not recorded</w:t>
            </w:r>
          </w:p>
        </w:tc>
        <w:tc>
          <w:tcPr>
            <w:tcW w:w="1256" w:type="dxa"/>
            <w:tcBorders>
              <w:top w:val="single" w:sz="4" w:space="0" w:color="000000"/>
              <w:left w:val="single" w:sz="4" w:space="0" w:color="auto"/>
              <w:bottom w:val="single" w:sz="4" w:space="0" w:color="000000"/>
              <w:right w:val="single" w:sz="4" w:space="0" w:color="auto"/>
            </w:tcBorders>
            <w:vAlign w:val="bottom"/>
          </w:tcPr>
          <w:p w14:paraId="03C08362" w14:textId="77777777" w:rsidR="00E73BD8" w:rsidRPr="00250E94" w:rsidRDefault="00E73BD8" w:rsidP="00B27F75">
            <w:pPr>
              <w:widowControl w:val="0"/>
              <w:spacing w:after="200" w:line="240" w:lineRule="auto"/>
              <w:jc w:val="center"/>
              <w:rPr>
                <w:rFonts w:eastAsiaTheme="minorHAnsi"/>
                <w:sz w:val="20"/>
                <w:szCs w:val="20"/>
                <w:lang w:val="en-US"/>
              </w:rPr>
            </w:pPr>
            <w:r w:rsidRPr="00250E94">
              <w:rPr>
                <w:rFonts w:eastAsiaTheme="minorHAnsi"/>
                <w:sz w:val="20"/>
                <w:szCs w:val="20"/>
                <w:lang w:val="en-US"/>
              </w:rPr>
              <w:t>No information</w:t>
            </w:r>
          </w:p>
        </w:tc>
        <w:tc>
          <w:tcPr>
            <w:tcW w:w="3690" w:type="dxa"/>
            <w:tcBorders>
              <w:top w:val="single" w:sz="4" w:space="0" w:color="000000"/>
              <w:left w:val="single" w:sz="4" w:space="0" w:color="auto"/>
              <w:bottom w:val="single" w:sz="4" w:space="0" w:color="000000"/>
              <w:right w:val="single" w:sz="4" w:space="0" w:color="auto"/>
            </w:tcBorders>
            <w:vAlign w:val="bottom"/>
          </w:tcPr>
          <w:p w14:paraId="0B7CEE2B" w14:textId="77777777" w:rsidR="00E73BD8" w:rsidRPr="00250E94" w:rsidRDefault="00E73BD8" w:rsidP="00B27F75">
            <w:pPr>
              <w:widowControl w:val="0"/>
              <w:spacing w:after="200" w:line="240" w:lineRule="auto"/>
              <w:rPr>
                <w:rFonts w:eastAsiaTheme="minorHAnsi"/>
                <w:sz w:val="20"/>
                <w:szCs w:val="20"/>
                <w:lang w:val="en-US"/>
              </w:rPr>
            </w:pPr>
            <w:r w:rsidRPr="00250E94">
              <w:rPr>
                <w:rFonts w:eastAsiaTheme="minorHAnsi"/>
                <w:sz w:val="20"/>
                <w:szCs w:val="20"/>
                <w:lang w:val="en-US"/>
              </w:rPr>
              <w:t>Northernmost Israeli coast or the Lebanese coast</w:t>
            </w:r>
          </w:p>
        </w:tc>
        <w:tc>
          <w:tcPr>
            <w:tcW w:w="1530" w:type="dxa"/>
            <w:tcBorders>
              <w:top w:val="single" w:sz="4" w:space="0" w:color="000000"/>
              <w:left w:val="single" w:sz="4" w:space="0" w:color="auto"/>
              <w:bottom w:val="single" w:sz="4" w:space="0" w:color="000000"/>
              <w:right w:val="single" w:sz="4" w:space="0" w:color="auto"/>
            </w:tcBorders>
            <w:vAlign w:val="bottom"/>
          </w:tcPr>
          <w:p w14:paraId="52C99780" w14:textId="77777777" w:rsidR="00E73BD8" w:rsidRPr="00250E94" w:rsidRDefault="00E73BD8" w:rsidP="00B27F75">
            <w:pPr>
              <w:widowControl w:val="0"/>
              <w:spacing w:after="200" w:line="240" w:lineRule="auto"/>
              <w:jc w:val="center"/>
              <w:rPr>
                <w:rFonts w:eastAsiaTheme="minorHAnsi"/>
                <w:sz w:val="20"/>
                <w:szCs w:val="20"/>
                <w:lang w:val="en-US"/>
              </w:rPr>
            </w:pPr>
            <w:r w:rsidRPr="00250E94">
              <w:rPr>
                <w:rFonts w:eastAsiaTheme="minorHAnsi"/>
                <w:sz w:val="20"/>
                <w:szCs w:val="20"/>
                <w:lang w:val="en-US"/>
              </w:rPr>
              <w:t>-</w:t>
            </w:r>
          </w:p>
        </w:tc>
        <w:tc>
          <w:tcPr>
            <w:tcW w:w="1440" w:type="dxa"/>
            <w:tcBorders>
              <w:top w:val="single" w:sz="4" w:space="0" w:color="000000"/>
              <w:left w:val="single" w:sz="4" w:space="0" w:color="auto"/>
              <w:bottom w:val="single" w:sz="4" w:space="0" w:color="000000"/>
              <w:right w:val="single" w:sz="4" w:space="0" w:color="auto"/>
            </w:tcBorders>
          </w:tcPr>
          <w:p w14:paraId="1AC5E5F7" w14:textId="77777777" w:rsidR="00E73BD8" w:rsidRPr="00250E94" w:rsidRDefault="00E73BD8" w:rsidP="00B27F75">
            <w:pPr>
              <w:widowControl w:val="0"/>
              <w:spacing w:after="200" w:line="240" w:lineRule="auto"/>
              <w:jc w:val="center"/>
              <w:rPr>
                <w:rFonts w:eastAsiaTheme="minorHAnsi"/>
                <w:b/>
                <w:sz w:val="20"/>
                <w:szCs w:val="20"/>
                <w:lang w:val="en-US"/>
              </w:rPr>
            </w:pPr>
            <w:r w:rsidRPr="00250E94">
              <w:rPr>
                <w:rFonts w:eastAsiaTheme="minorHAnsi"/>
                <w:b/>
                <w:sz w:val="20"/>
                <w:szCs w:val="20"/>
                <w:lang w:val="en-US"/>
              </w:rPr>
              <w:t>No information</w:t>
            </w:r>
          </w:p>
        </w:tc>
      </w:tr>
      <w:tr w:rsidR="00E73BD8" w:rsidRPr="00250E94" w14:paraId="4BC3F2F2" w14:textId="77777777" w:rsidTr="00B27F75">
        <w:trPr>
          <w:trHeight w:hRule="exact" w:val="451"/>
        </w:trPr>
        <w:tc>
          <w:tcPr>
            <w:tcW w:w="1633" w:type="dxa"/>
            <w:tcBorders>
              <w:top w:val="single" w:sz="4" w:space="0" w:color="000000"/>
              <w:left w:val="single" w:sz="4" w:space="0" w:color="auto"/>
              <w:bottom w:val="single" w:sz="4" w:space="0" w:color="000000"/>
              <w:right w:val="single" w:sz="4" w:space="0" w:color="auto"/>
            </w:tcBorders>
          </w:tcPr>
          <w:p w14:paraId="5894C15B" w14:textId="77777777" w:rsidR="00E73BD8" w:rsidRPr="00250E94" w:rsidRDefault="00E73BD8" w:rsidP="00B27F75">
            <w:pPr>
              <w:widowControl w:val="0"/>
              <w:spacing w:after="200" w:line="240" w:lineRule="auto"/>
              <w:rPr>
                <w:rFonts w:eastAsiaTheme="minorHAnsi"/>
                <w:sz w:val="20"/>
                <w:szCs w:val="20"/>
                <w:lang w:val="en-US"/>
              </w:rPr>
            </w:pPr>
            <w:r w:rsidRPr="00250E94">
              <w:rPr>
                <w:rFonts w:eastAsiaTheme="minorHAnsi"/>
                <w:sz w:val="20"/>
                <w:szCs w:val="20"/>
                <w:lang w:val="en-US"/>
              </w:rPr>
              <w:t>5894, PMG120</w:t>
            </w:r>
          </w:p>
        </w:tc>
        <w:tc>
          <w:tcPr>
            <w:tcW w:w="2408" w:type="dxa"/>
            <w:tcBorders>
              <w:top w:val="single" w:sz="4" w:space="0" w:color="000000"/>
              <w:left w:val="single" w:sz="4" w:space="0" w:color="auto"/>
              <w:bottom w:val="single" w:sz="4" w:space="0" w:color="000000"/>
              <w:right w:val="single" w:sz="4" w:space="0" w:color="auto"/>
            </w:tcBorders>
          </w:tcPr>
          <w:p w14:paraId="5DCA9B65" w14:textId="77777777" w:rsidR="00E73BD8" w:rsidRPr="00250E94" w:rsidRDefault="00E73BD8" w:rsidP="00B27F75">
            <w:pPr>
              <w:widowControl w:val="0"/>
              <w:spacing w:after="200" w:line="240" w:lineRule="auto"/>
              <w:rPr>
                <w:rFonts w:eastAsiaTheme="minorHAnsi"/>
                <w:sz w:val="20"/>
                <w:szCs w:val="20"/>
                <w:lang w:val="en-US"/>
              </w:rPr>
            </w:pPr>
            <w:r w:rsidRPr="00250E94">
              <w:rPr>
                <w:rFonts w:eastAsiaTheme="minorHAnsi"/>
                <w:sz w:val="20"/>
                <w:szCs w:val="20"/>
                <w:lang w:val="en-US"/>
              </w:rPr>
              <w:t>?</w:t>
            </w:r>
          </w:p>
        </w:tc>
        <w:tc>
          <w:tcPr>
            <w:tcW w:w="2524" w:type="dxa"/>
            <w:tcBorders>
              <w:top w:val="single" w:sz="4" w:space="0" w:color="000000"/>
              <w:left w:val="single" w:sz="4" w:space="0" w:color="auto"/>
              <w:bottom w:val="single" w:sz="4" w:space="0" w:color="000000"/>
              <w:right w:val="single" w:sz="4" w:space="0" w:color="auto"/>
            </w:tcBorders>
            <w:vAlign w:val="bottom"/>
          </w:tcPr>
          <w:p w14:paraId="40B85BA4" w14:textId="77777777" w:rsidR="00E73BD8" w:rsidRPr="00250E94" w:rsidRDefault="00E73BD8" w:rsidP="00B27F75">
            <w:pPr>
              <w:widowControl w:val="0"/>
              <w:spacing w:after="200" w:line="240" w:lineRule="auto"/>
              <w:rPr>
                <w:rFonts w:eastAsiaTheme="minorHAnsi"/>
                <w:sz w:val="20"/>
                <w:szCs w:val="20"/>
                <w:lang w:val="en-US"/>
              </w:rPr>
            </w:pPr>
            <w:r w:rsidRPr="00250E94">
              <w:rPr>
                <w:rFonts w:eastAsiaTheme="minorHAnsi"/>
                <w:sz w:val="20"/>
                <w:szCs w:val="20"/>
                <w:lang w:val="en-US"/>
              </w:rPr>
              <w:t>Central and Southern Hill Country</w:t>
            </w:r>
          </w:p>
        </w:tc>
        <w:tc>
          <w:tcPr>
            <w:tcW w:w="1256" w:type="dxa"/>
            <w:tcBorders>
              <w:top w:val="single" w:sz="4" w:space="0" w:color="000000"/>
              <w:left w:val="single" w:sz="4" w:space="0" w:color="auto"/>
              <w:bottom w:val="single" w:sz="4" w:space="0" w:color="000000"/>
              <w:right w:val="single" w:sz="4" w:space="0" w:color="auto"/>
            </w:tcBorders>
          </w:tcPr>
          <w:p w14:paraId="7BA07645" w14:textId="77777777" w:rsidR="00E73BD8" w:rsidRPr="00250E94" w:rsidRDefault="00E73BD8" w:rsidP="00B27F75">
            <w:pPr>
              <w:widowControl w:val="0"/>
              <w:spacing w:after="200" w:line="240" w:lineRule="auto"/>
              <w:jc w:val="center"/>
              <w:rPr>
                <w:rFonts w:eastAsiaTheme="minorHAnsi"/>
                <w:sz w:val="20"/>
                <w:szCs w:val="20"/>
                <w:lang w:val="en-US"/>
              </w:rPr>
            </w:pPr>
            <w:r w:rsidRPr="00250E94">
              <w:rPr>
                <w:rFonts w:eastAsiaTheme="minorHAnsi"/>
                <w:sz w:val="20"/>
                <w:szCs w:val="20"/>
                <w:lang w:val="en-US"/>
              </w:rPr>
              <w:t>?</w:t>
            </w:r>
          </w:p>
        </w:tc>
        <w:tc>
          <w:tcPr>
            <w:tcW w:w="3690" w:type="dxa"/>
            <w:tcBorders>
              <w:top w:val="single" w:sz="4" w:space="0" w:color="000000"/>
              <w:left w:val="single" w:sz="4" w:space="0" w:color="auto"/>
              <w:bottom w:val="single" w:sz="4" w:space="0" w:color="000000"/>
              <w:right w:val="single" w:sz="4" w:space="0" w:color="auto"/>
            </w:tcBorders>
          </w:tcPr>
          <w:p w14:paraId="55E63126" w14:textId="77777777" w:rsidR="00E73BD8" w:rsidRPr="00250E94" w:rsidRDefault="00E73BD8" w:rsidP="00B27F75">
            <w:pPr>
              <w:widowControl w:val="0"/>
              <w:spacing w:after="200" w:line="240" w:lineRule="auto"/>
              <w:rPr>
                <w:rFonts w:eastAsiaTheme="minorHAnsi"/>
                <w:sz w:val="20"/>
                <w:szCs w:val="20"/>
                <w:lang w:val="en-US"/>
              </w:rPr>
            </w:pPr>
            <w:bookmarkStart w:id="79" w:name="_Hlk8543199"/>
            <w:r w:rsidRPr="00250E94">
              <w:rPr>
                <w:rFonts w:eastAsiaTheme="minorHAnsi"/>
                <w:sz w:val="20"/>
                <w:szCs w:val="20"/>
                <w:lang w:val="en-US"/>
              </w:rPr>
              <w:t>Northwestern Syria: Ugarit, 'Amuq area or the Cilician coast</w:t>
            </w:r>
            <w:bookmarkEnd w:id="79"/>
          </w:p>
        </w:tc>
        <w:tc>
          <w:tcPr>
            <w:tcW w:w="1530" w:type="dxa"/>
            <w:tcBorders>
              <w:top w:val="single" w:sz="4" w:space="0" w:color="000000"/>
              <w:left w:val="single" w:sz="4" w:space="0" w:color="auto"/>
              <w:bottom w:val="single" w:sz="4" w:space="0" w:color="000000"/>
              <w:right w:val="single" w:sz="4" w:space="0" w:color="auto"/>
            </w:tcBorders>
          </w:tcPr>
          <w:p w14:paraId="7AF850D9" w14:textId="77777777" w:rsidR="00E73BD8" w:rsidRPr="00250E94" w:rsidRDefault="00E73BD8" w:rsidP="00B27F75">
            <w:pPr>
              <w:widowControl w:val="0"/>
              <w:spacing w:after="200" w:line="240" w:lineRule="auto"/>
              <w:jc w:val="center"/>
              <w:rPr>
                <w:rFonts w:eastAsiaTheme="minorHAnsi"/>
                <w:sz w:val="20"/>
                <w:szCs w:val="20"/>
                <w:lang w:val="en-US"/>
              </w:rPr>
            </w:pPr>
            <w:r w:rsidRPr="00250E94">
              <w:rPr>
                <w:rFonts w:eastAsiaTheme="minorHAnsi"/>
                <w:sz w:val="20"/>
                <w:szCs w:val="20"/>
                <w:lang w:val="en-US"/>
              </w:rPr>
              <w:t>N.D. (should be -)</w:t>
            </w:r>
          </w:p>
        </w:tc>
        <w:tc>
          <w:tcPr>
            <w:tcW w:w="1440" w:type="dxa"/>
            <w:tcBorders>
              <w:top w:val="single" w:sz="4" w:space="0" w:color="000000"/>
              <w:left w:val="single" w:sz="4" w:space="0" w:color="auto"/>
              <w:bottom w:val="single" w:sz="4" w:space="0" w:color="000000"/>
              <w:right w:val="single" w:sz="4" w:space="0" w:color="auto"/>
            </w:tcBorders>
          </w:tcPr>
          <w:p w14:paraId="23429111" w14:textId="77777777" w:rsidR="00E73BD8" w:rsidRPr="00250E94" w:rsidRDefault="00E73BD8" w:rsidP="00B27F75">
            <w:pPr>
              <w:widowControl w:val="0"/>
              <w:spacing w:after="200" w:line="240" w:lineRule="auto"/>
              <w:jc w:val="center"/>
              <w:rPr>
                <w:rFonts w:eastAsiaTheme="minorHAnsi"/>
                <w:b/>
                <w:sz w:val="20"/>
                <w:szCs w:val="20"/>
                <w:lang w:val="en-US"/>
              </w:rPr>
            </w:pPr>
            <w:r w:rsidRPr="00250E94">
              <w:rPr>
                <w:rFonts w:eastAsiaTheme="minorHAnsi"/>
                <w:b/>
                <w:sz w:val="20"/>
                <w:szCs w:val="20"/>
                <w:lang w:val="en-US"/>
              </w:rPr>
              <w:t>-</w:t>
            </w:r>
          </w:p>
        </w:tc>
      </w:tr>
      <w:tr w:rsidR="00E73BD8" w:rsidRPr="00250E94" w14:paraId="6179E878" w14:textId="77777777" w:rsidTr="00B27F75">
        <w:trPr>
          <w:trHeight w:hRule="exact" w:val="478"/>
        </w:trPr>
        <w:tc>
          <w:tcPr>
            <w:tcW w:w="1633" w:type="dxa"/>
            <w:tcBorders>
              <w:top w:val="single" w:sz="4" w:space="0" w:color="000000"/>
              <w:left w:val="single" w:sz="4" w:space="0" w:color="auto"/>
              <w:bottom w:val="single" w:sz="4" w:space="0" w:color="000000"/>
              <w:right w:val="single" w:sz="4" w:space="0" w:color="auto"/>
            </w:tcBorders>
            <w:vAlign w:val="bottom"/>
          </w:tcPr>
          <w:p w14:paraId="374C097A" w14:textId="77777777" w:rsidR="00E73BD8" w:rsidRPr="00250E94" w:rsidRDefault="00E73BD8" w:rsidP="00B27F75">
            <w:pPr>
              <w:widowControl w:val="0"/>
              <w:spacing w:after="200" w:line="240" w:lineRule="auto"/>
              <w:rPr>
                <w:rFonts w:eastAsiaTheme="minorHAnsi"/>
                <w:sz w:val="20"/>
                <w:szCs w:val="20"/>
                <w:lang w:val="en-US"/>
              </w:rPr>
            </w:pPr>
            <w:r w:rsidRPr="00250E94">
              <w:rPr>
                <w:rFonts w:eastAsiaTheme="minorHAnsi"/>
                <w:sz w:val="20"/>
                <w:szCs w:val="20"/>
                <w:lang w:val="en-US"/>
              </w:rPr>
              <w:t>5894C, PMG121</w:t>
            </w:r>
          </w:p>
        </w:tc>
        <w:tc>
          <w:tcPr>
            <w:tcW w:w="2408" w:type="dxa"/>
            <w:tcBorders>
              <w:top w:val="single" w:sz="4" w:space="0" w:color="000000"/>
              <w:left w:val="single" w:sz="4" w:space="0" w:color="auto"/>
              <w:bottom w:val="single" w:sz="4" w:space="0" w:color="000000"/>
              <w:right w:val="single" w:sz="4" w:space="0" w:color="auto"/>
            </w:tcBorders>
            <w:vAlign w:val="bottom"/>
          </w:tcPr>
          <w:p w14:paraId="7B1465CF" w14:textId="77777777" w:rsidR="00E73BD8" w:rsidRPr="00250E94" w:rsidRDefault="00E73BD8" w:rsidP="00B27F75">
            <w:pPr>
              <w:widowControl w:val="0"/>
              <w:spacing w:after="200" w:line="240" w:lineRule="auto"/>
              <w:rPr>
                <w:rFonts w:eastAsiaTheme="minorHAnsi"/>
                <w:sz w:val="20"/>
                <w:szCs w:val="20"/>
                <w:lang w:val="en-US"/>
              </w:rPr>
            </w:pPr>
            <w:r w:rsidRPr="00250E94">
              <w:rPr>
                <w:rFonts w:eastAsiaTheme="minorHAnsi"/>
                <w:sz w:val="20"/>
                <w:szCs w:val="20"/>
                <w:lang w:val="en-US"/>
              </w:rPr>
              <w:t>? (possibly Southern Palestine)</w:t>
            </w:r>
          </w:p>
        </w:tc>
        <w:tc>
          <w:tcPr>
            <w:tcW w:w="2524" w:type="dxa"/>
            <w:tcBorders>
              <w:top w:val="single" w:sz="4" w:space="0" w:color="000000"/>
              <w:left w:val="single" w:sz="4" w:space="0" w:color="auto"/>
              <w:bottom w:val="single" w:sz="4" w:space="0" w:color="000000"/>
              <w:right w:val="single" w:sz="4" w:space="0" w:color="auto"/>
            </w:tcBorders>
            <w:vAlign w:val="bottom"/>
          </w:tcPr>
          <w:p w14:paraId="5892A3E5" w14:textId="77777777" w:rsidR="00E73BD8" w:rsidRPr="00250E94" w:rsidRDefault="00E73BD8" w:rsidP="00B27F75">
            <w:pPr>
              <w:widowControl w:val="0"/>
              <w:spacing w:after="200" w:line="240" w:lineRule="auto"/>
              <w:rPr>
                <w:rFonts w:eastAsiaTheme="minorHAnsi"/>
                <w:sz w:val="20"/>
                <w:szCs w:val="20"/>
                <w:lang w:val="en-US"/>
              </w:rPr>
            </w:pPr>
            <w:r w:rsidRPr="00250E94">
              <w:rPr>
                <w:rFonts w:eastAsiaTheme="minorHAnsi"/>
                <w:sz w:val="20"/>
                <w:szCs w:val="20"/>
                <w:lang w:val="en-US"/>
              </w:rPr>
              <w:t>Central and Southern Hill Country</w:t>
            </w:r>
          </w:p>
        </w:tc>
        <w:tc>
          <w:tcPr>
            <w:tcW w:w="1256" w:type="dxa"/>
            <w:tcBorders>
              <w:top w:val="single" w:sz="4" w:space="0" w:color="000000"/>
              <w:left w:val="single" w:sz="4" w:space="0" w:color="auto"/>
              <w:bottom w:val="single" w:sz="4" w:space="0" w:color="000000"/>
              <w:right w:val="single" w:sz="4" w:space="0" w:color="auto"/>
            </w:tcBorders>
            <w:vAlign w:val="bottom"/>
          </w:tcPr>
          <w:p w14:paraId="0CA65F09" w14:textId="77777777" w:rsidR="00E73BD8" w:rsidRPr="00250E94" w:rsidRDefault="00E73BD8" w:rsidP="00B27F75">
            <w:pPr>
              <w:widowControl w:val="0"/>
              <w:spacing w:after="200" w:line="240" w:lineRule="auto"/>
              <w:jc w:val="center"/>
              <w:rPr>
                <w:rFonts w:eastAsiaTheme="minorHAnsi"/>
                <w:sz w:val="20"/>
                <w:szCs w:val="20"/>
                <w:lang w:val="en-US"/>
              </w:rPr>
            </w:pPr>
            <w:r w:rsidRPr="00250E94">
              <w:rPr>
                <w:rFonts w:eastAsiaTheme="minorHAnsi"/>
                <w:sz w:val="20"/>
                <w:szCs w:val="20"/>
                <w:lang w:val="en-US"/>
              </w:rPr>
              <w:t>-</w:t>
            </w:r>
          </w:p>
        </w:tc>
        <w:tc>
          <w:tcPr>
            <w:tcW w:w="3690" w:type="dxa"/>
            <w:tcBorders>
              <w:top w:val="single" w:sz="4" w:space="0" w:color="000000"/>
              <w:left w:val="single" w:sz="4" w:space="0" w:color="auto"/>
              <w:bottom w:val="single" w:sz="4" w:space="0" w:color="000000"/>
              <w:right w:val="single" w:sz="4" w:space="0" w:color="auto"/>
            </w:tcBorders>
            <w:vAlign w:val="bottom"/>
          </w:tcPr>
          <w:p w14:paraId="6598A3C0" w14:textId="77777777" w:rsidR="00E73BD8" w:rsidRPr="00250E94" w:rsidRDefault="00E73BD8" w:rsidP="00B27F75">
            <w:pPr>
              <w:widowControl w:val="0"/>
              <w:spacing w:after="200" w:line="240" w:lineRule="auto"/>
              <w:rPr>
                <w:rFonts w:eastAsiaTheme="minorHAnsi"/>
                <w:sz w:val="20"/>
                <w:szCs w:val="20"/>
                <w:lang w:val="en-US"/>
              </w:rPr>
            </w:pPr>
            <w:r w:rsidRPr="00250E94">
              <w:rPr>
                <w:rFonts w:eastAsiaTheme="minorHAnsi"/>
                <w:sz w:val="20"/>
                <w:szCs w:val="20"/>
                <w:lang w:val="en-US"/>
              </w:rPr>
              <w:t>Northern Lebanese coast (north of Tripoli)</w:t>
            </w:r>
          </w:p>
        </w:tc>
        <w:tc>
          <w:tcPr>
            <w:tcW w:w="1530" w:type="dxa"/>
            <w:tcBorders>
              <w:top w:val="single" w:sz="4" w:space="0" w:color="000000"/>
              <w:left w:val="single" w:sz="4" w:space="0" w:color="auto"/>
              <w:bottom w:val="single" w:sz="4" w:space="0" w:color="000000"/>
              <w:right w:val="single" w:sz="4" w:space="0" w:color="auto"/>
            </w:tcBorders>
            <w:vAlign w:val="bottom"/>
          </w:tcPr>
          <w:p w14:paraId="2BCEE188" w14:textId="77777777" w:rsidR="00E73BD8" w:rsidRPr="00250E94" w:rsidRDefault="00E73BD8" w:rsidP="00B27F75">
            <w:pPr>
              <w:widowControl w:val="0"/>
              <w:spacing w:after="200" w:line="240" w:lineRule="auto"/>
              <w:jc w:val="center"/>
              <w:rPr>
                <w:rFonts w:eastAsiaTheme="minorHAnsi"/>
                <w:sz w:val="20"/>
                <w:szCs w:val="20"/>
                <w:lang w:val="en-US"/>
              </w:rPr>
            </w:pPr>
            <w:r w:rsidRPr="00250E94">
              <w:rPr>
                <w:rFonts w:eastAsiaTheme="minorHAnsi"/>
                <w:sz w:val="20"/>
                <w:szCs w:val="20"/>
                <w:lang w:val="en-US"/>
              </w:rPr>
              <w:t>N.D. (should be -)</w:t>
            </w:r>
          </w:p>
        </w:tc>
        <w:tc>
          <w:tcPr>
            <w:tcW w:w="1440" w:type="dxa"/>
            <w:tcBorders>
              <w:top w:val="single" w:sz="4" w:space="0" w:color="000000"/>
              <w:left w:val="single" w:sz="4" w:space="0" w:color="auto"/>
              <w:bottom w:val="single" w:sz="4" w:space="0" w:color="000000"/>
              <w:right w:val="single" w:sz="4" w:space="0" w:color="auto"/>
            </w:tcBorders>
          </w:tcPr>
          <w:p w14:paraId="3AAEDDA5" w14:textId="77777777" w:rsidR="00E73BD8" w:rsidRPr="00250E94" w:rsidRDefault="00E73BD8" w:rsidP="00B27F75">
            <w:pPr>
              <w:widowControl w:val="0"/>
              <w:spacing w:after="200" w:line="240" w:lineRule="auto"/>
              <w:jc w:val="center"/>
              <w:rPr>
                <w:rFonts w:eastAsiaTheme="minorHAnsi"/>
                <w:b/>
                <w:sz w:val="20"/>
                <w:szCs w:val="20"/>
                <w:lang w:val="en-US"/>
              </w:rPr>
            </w:pPr>
            <w:r w:rsidRPr="00250E94">
              <w:rPr>
                <w:rFonts w:eastAsiaTheme="minorHAnsi"/>
                <w:b/>
                <w:sz w:val="20"/>
                <w:szCs w:val="20"/>
                <w:lang w:val="en-US"/>
              </w:rPr>
              <w:t>-</w:t>
            </w:r>
          </w:p>
        </w:tc>
      </w:tr>
      <w:tr w:rsidR="00E73BD8" w:rsidRPr="00250E94" w14:paraId="601B66AA" w14:textId="77777777" w:rsidTr="00B27F75">
        <w:trPr>
          <w:trHeight w:hRule="exact" w:val="244"/>
        </w:trPr>
        <w:tc>
          <w:tcPr>
            <w:tcW w:w="1633" w:type="dxa"/>
            <w:tcBorders>
              <w:top w:val="single" w:sz="4" w:space="0" w:color="000000"/>
              <w:left w:val="single" w:sz="4" w:space="0" w:color="auto"/>
              <w:bottom w:val="single" w:sz="4" w:space="0" w:color="000000"/>
              <w:right w:val="single" w:sz="4" w:space="0" w:color="auto"/>
            </w:tcBorders>
            <w:vAlign w:val="bottom"/>
          </w:tcPr>
          <w:p w14:paraId="1CD82228" w14:textId="77777777" w:rsidR="00E73BD8" w:rsidRPr="00250E94" w:rsidRDefault="00E73BD8" w:rsidP="00B27F75">
            <w:pPr>
              <w:widowControl w:val="0"/>
              <w:spacing w:after="200" w:line="240" w:lineRule="auto"/>
              <w:rPr>
                <w:rFonts w:eastAsiaTheme="minorHAnsi"/>
                <w:sz w:val="20"/>
                <w:szCs w:val="20"/>
                <w:lang w:val="en-US"/>
              </w:rPr>
            </w:pPr>
            <w:r w:rsidRPr="00250E94">
              <w:rPr>
                <w:rFonts w:eastAsiaTheme="minorHAnsi"/>
                <w:sz w:val="20"/>
                <w:szCs w:val="20"/>
                <w:lang w:val="en-US"/>
              </w:rPr>
              <w:lastRenderedPageBreak/>
              <w:t>6114E, MB029</w:t>
            </w:r>
          </w:p>
        </w:tc>
        <w:tc>
          <w:tcPr>
            <w:tcW w:w="2408" w:type="dxa"/>
            <w:tcBorders>
              <w:top w:val="single" w:sz="4" w:space="0" w:color="000000"/>
              <w:left w:val="single" w:sz="4" w:space="0" w:color="auto"/>
              <w:bottom w:val="single" w:sz="4" w:space="0" w:color="000000"/>
              <w:right w:val="single" w:sz="4" w:space="0" w:color="auto"/>
            </w:tcBorders>
            <w:vAlign w:val="bottom"/>
          </w:tcPr>
          <w:p w14:paraId="2AA314DA" w14:textId="77777777" w:rsidR="00E73BD8" w:rsidRPr="00250E94" w:rsidRDefault="00E73BD8" w:rsidP="00B27F75">
            <w:pPr>
              <w:widowControl w:val="0"/>
              <w:spacing w:after="200" w:line="240" w:lineRule="auto"/>
              <w:rPr>
                <w:rFonts w:eastAsiaTheme="minorHAnsi"/>
                <w:sz w:val="20"/>
                <w:szCs w:val="20"/>
                <w:lang w:val="en-US"/>
              </w:rPr>
            </w:pPr>
            <w:r w:rsidRPr="00250E94">
              <w:rPr>
                <w:rFonts w:eastAsiaTheme="minorHAnsi"/>
                <w:sz w:val="20"/>
                <w:szCs w:val="20"/>
                <w:lang w:val="en-US"/>
              </w:rPr>
              <w:t>Southern Palestine</w:t>
            </w:r>
          </w:p>
        </w:tc>
        <w:tc>
          <w:tcPr>
            <w:tcW w:w="2524" w:type="dxa"/>
            <w:tcBorders>
              <w:top w:val="single" w:sz="4" w:space="0" w:color="000000"/>
              <w:left w:val="single" w:sz="4" w:space="0" w:color="auto"/>
              <w:bottom w:val="single" w:sz="4" w:space="0" w:color="000000"/>
              <w:right w:val="single" w:sz="4" w:space="0" w:color="auto"/>
            </w:tcBorders>
            <w:vAlign w:val="bottom"/>
          </w:tcPr>
          <w:p w14:paraId="4D63AB23" w14:textId="77777777" w:rsidR="00E73BD8" w:rsidRPr="00250E94" w:rsidRDefault="00E73BD8" w:rsidP="00B27F75">
            <w:pPr>
              <w:widowControl w:val="0"/>
              <w:spacing w:after="200" w:line="240" w:lineRule="auto"/>
              <w:rPr>
                <w:rFonts w:eastAsiaTheme="minorHAnsi"/>
                <w:sz w:val="20"/>
                <w:szCs w:val="20"/>
                <w:lang w:val="en-US"/>
              </w:rPr>
            </w:pPr>
            <w:r w:rsidRPr="00250E94">
              <w:rPr>
                <w:rFonts w:eastAsiaTheme="minorHAnsi"/>
                <w:sz w:val="20"/>
                <w:szCs w:val="20"/>
                <w:lang w:val="en-US"/>
              </w:rPr>
              <w:t>Not recorded</w:t>
            </w:r>
          </w:p>
        </w:tc>
        <w:tc>
          <w:tcPr>
            <w:tcW w:w="1256" w:type="dxa"/>
            <w:tcBorders>
              <w:top w:val="single" w:sz="4" w:space="0" w:color="000000"/>
              <w:left w:val="single" w:sz="4" w:space="0" w:color="auto"/>
              <w:bottom w:val="single" w:sz="4" w:space="0" w:color="000000"/>
              <w:right w:val="single" w:sz="4" w:space="0" w:color="auto"/>
            </w:tcBorders>
            <w:vAlign w:val="bottom"/>
          </w:tcPr>
          <w:p w14:paraId="03A9438C" w14:textId="77777777" w:rsidR="00E73BD8" w:rsidRPr="00250E94" w:rsidRDefault="00E73BD8" w:rsidP="00B27F75">
            <w:pPr>
              <w:widowControl w:val="0"/>
              <w:spacing w:after="200" w:line="240" w:lineRule="auto"/>
              <w:jc w:val="center"/>
              <w:rPr>
                <w:rFonts w:eastAsiaTheme="minorHAnsi"/>
                <w:sz w:val="20"/>
                <w:szCs w:val="20"/>
                <w:lang w:val="en-US"/>
              </w:rPr>
            </w:pPr>
            <w:r w:rsidRPr="00250E94">
              <w:rPr>
                <w:rFonts w:eastAsiaTheme="minorHAnsi"/>
                <w:sz w:val="20"/>
                <w:szCs w:val="20"/>
                <w:lang w:val="en-US"/>
              </w:rPr>
              <w:t>No information</w:t>
            </w:r>
          </w:p>
        </w:tc>
        <w:tc>
          <w:tcPr>
            <w:tcW w:w="3690" w:type="dxa"/>
            <w:tcBorders>
              <w:top w:val="single" w:sz="4" w:space="0" w:color="000000"/>
              <w:left w:val="single" w:sz="4" w:space="0" w:color="auto"/>
              <w:bottom w:val="single" w:sz="4" w:space="0" w:color="000000"/>
              <w:right w:val="single" w:sz="4" w:space="0" w:color="auto"/>
            </w:tcBorders>
            <w:vAlign w:val="bottom"/>
          </w:tcPr>
          <w:p w14:paraId="0F90FF92" w14:textId="77777777" w:rsidR="00E73BD8" w:rsidRPr="00250E94" w:rsidRDefault="00E73BD8" w:rsidP="00B27F75">
            <w:pPr>
              <w:widowControl w:val="0"/>
              <w:spacing w:after="200" w:line="240" w:lineRule="auto"/>
              <w:rPr>
                <w:rFonts w:eastAsiaTheme="minorHAnsi"/>
                <w:sz w:val="20"/>
                <w:szCs w:val="20"/>
                <w:lang w:val="en-US"/>
              </w:rPr>
            </w:pPr>
            <w:r w:rsidRPr="00250E94">
              <w:rPr>
                <w:rFonts w:eastAsiaTheme="minorHAnsi"/>
                <w:sz w:val="20"/>
                <w:szCs w:val="20"/>
                <w:lang w:val="en-US"/>
              </w:rPr>
              <w:t>Undetermined northern Levant</w:t>
            </w:r>
          </w:p>
        </w:tc>
        <w:tc>
          <w:tcPr>
            <w:tcW w:w="1530" w:type="dxa"/>
            <w:tcBorders>
              <w:top w:val="single" w:sz="4" w:space="0" w:color="000000"/>
              <w:left w:val="single" w:sz="4" w:space="0" w:color="auto"/>
              <w:bottom w:val="single" w:sz="4" w:space="0" w:color="000000"/>
              <w:right w:val="single" w:sz="4" w:space="0" w:color="auto"/>
            </w:tcBorders>
            <w:vAlign w:val="bottom"/>
          </w:tcPr>
          <w:p w14:paraId="48A92FDF" w14:textId="77777777" w:rsidR="00E73BD8" w:rsidRPr="00250E94" w:rsidRDefault="00E73BD8" w:rsidP="00B27F75">
            <w:pPr>
              <w:widowControl w:val="0"/>
              <w:spacing w:after="200" w:line="240" w:lineRule="auto"/>
              <w:jc w:val="center"/>
              <w:rPr>
                <w:rFonts w:eastAsiaTheme="minorHAnsi"/>
                <w:sz w:val="20"/>
                <w:szCs w:val="20"/>
                <w:lang w:val="en-US"/>
              </w:rPr>
            </w:pPr>
            <w:r w:rsidRPr="00250E94">
              <w:rPr>
                <w:rFonts w:eastAsiaTheme="minorHAnsi"/>
                <w:sz w:val="20"/>
                <w:szCs w:val="20"/>
                <w:lang w:val="en-US"/>
              </w:rPr>
              <w:t>-</w:t>
            </w:r>
          </w:p>
        </w:tc>
        <w:tc>
          <w:tcPr>
            <w:tcW w:w="1440" w:type="dxa"/>
            <w:tcBorders>
              <w:top w:val="single" w:sz="4" w:space="0" w:color="000000"/>
              <w:left w:val="single" w:sz="4" w:space="0" w:color="auto"/>
              <w:bottom w:val="single" w:sz="4" w:space="0" w:color="000000"/>
              <w:right w:val="single" w:sz="4" w:space="0" w:color="auto"/>
            </w:tcBorders>
          </w:tcPr>
          <w:p w14:paraId="1D9E61D2" w14:textId="77777777" w:rsidR="00E73BD8" w:rsidRPr="00250E94" w:rsidRDefault="00E73BD8" w:rsidP="00B27F75">
            <w:pPr>
              <w:widowControl w:val="0"/>
              <w:spacing w:after="200" w:line="240" w:lineRule="auto"/>
              <w:jc w:val="center"/>
              <w:rPr>
                <w:rFonts w:eastAsiaTheme="minorHAnsi"/>
                <w:b/>
                <w:sz w:val="20"/>
                <w:szCs w:val="20"/>
                <w:lang w:val="en-US"/>
              </w:rPr>
            </w:pPr>
            <w:r w:rsidRPr="00250E94">
              <w:rPr>
                <w:rFonts w:eastAsiaTheme="minorHAnsi"/>
                <w:b/>
                <w:sz w:val="20"/>
                <w:szCs w:val="20"/>
                <w:lang w:val="en-US"/>
              </w:rPr>
              <w:t>No information</w:t>
            </w:r>
          </w:p>
        </w:tc>
      </w:tr>
      <w:tr w:rsidR="00E73BD8" w:rsidRPr="00250E94" w14:paraId="7DA7E559" w14:textId="77777777" w:rsidTr="00B27F75">
        <w:trPr>
          <w:trHeight w:hRule="exact" w:val="262"/>
        </w:trPr>
        <w:tc>
          <w:tcPr>
            <w:tcW w:w="1633" w:type="dxa"/>
            <w:tcBorders>
              <w:top w:val="single" w:sz="4" w:space="0" w:color="000000"/>
              <w:left w:val="single" w:sz="4" w:space="0" w:color="auto"/>
              <w:bottom w:val="single" w:sz="4" w:space="0" w:color="000000"/>
              <w:right w:val="single" w:sz="4" w:space="0" w:color="auto"/>
            </w:tcBorders>
            <w:vAlign w:val="bottom"/>
          </w:tcPr>
          <w:p w14:paraId="163E7C80" w14:textId="77777777" w:rsidR="00E73BD8" w:rsidRPr="00250E94" w:rsidRDefault="00E73BD8" w:rsidP="00B27F75">
            <w:pPr>
              <w:widowControl w:val="0"/>
              <w:spacing w:after="200" w:line="240" w:lineRule="auto"/>
              <w:rPr>
                <w:rFonts w:eastAsiaTheme="minorHAnsi"/>
                <w:sz w:val="20"/>
                <w:szCs w:val="20"/>
                <w:lang w:val="en-US"/>
              </w:rPr>
            </w:pPr>
            <w:r w:rsidRPr="00250E94">
              <w:rPr>
                <w:rFonts w:eastAsiaTheme="minorHAnsi"/>
                <w:sz w:val="20"/>
                <w:szCs w:val="20"/>
                <w:lang w:val="en-US"/>
              </w:rPr>
              <w:t>6114L, MB032</w:t>
            </w:r>
          </w:p>
        </w:tc>
        <w:tc>
          <w:tcPr>
            <w:tcW w:w="2408" w:type="dxa"/>
            <w:tcBorders>
              <w:top w:val="single" w:sz="4" w:space="0" w:color="000000"/>
              <w:left w:val="single" w:sz="4" w:space="0" w:color="auto"/>
              <w:bottom w:val="single" w:sz="4" w:space="0" w:color="000000"/>
              <w:right w:val="single" w:sz="4" w:space="0" w:color="auto"/>
            </w:tcBorders>
            <w:vAlign w:val="bottom"/>
          </w:tcPr>
          <w:p w14:paraId="763AEDD3" w14:textId="77777777" w:rsidR="00E73BD8" w:rsidRPr="00250E94" w:rsidRDefault="00E73BD8" w:rsidP="00B27F75">
            <w:pPr>
              <w:widowControl w:val="0"/>
              <w:spacing w:after="200" w:line="240" w:lineRule="auto"/>
              <w:rPr>
                <w:rFonts w:eastAsiaTheme="minorHAnsi"/>
                <w:sz w:val="20"/>
                <w:szCs w:val="20"/>
                <w:lang w:val="en-US"/>
              </w:rPr>
            </w:pPr>
            <w:r w:rsidRPr="00250E94">
              <w:rPr>
                <w:rFonts w:eastAsiaTheme="minorHAnsi"/>
                <w:sz w:val="20"/>
                <w:szCs w:val="20"/>
                <w:lang w:val="en-US"/>
              </w:rPr>
              <w:t>Nile alluvium</w:t>
            </w:r>
          </w:p>
        </w:tc>
        <w:tc>
          <w:tcPr>
            <w:tcW w:w="2524" w:type="dxa"/>
            <w:tcBorders>
              <w:top w:val="single" w:sz="4" w:space="0" w:color="000000"/>
              <w:left w:val="single" w:sz="4" w:space="0" w:color="auto"/>
              <w:bottom w:val="single" w:sz="4" w:space="0" w:color="000000"/>
              <w:right w:val="single" w:sz="4" w:space="0" w:color="auto"/>
            </w:tcBorders>
            <w:vAlign w:val="bottom"/>
          </w:tcPr>
          <w:p w14:paraId="4DC2A1C0" w14:textId="77777777" w:rsidR="00E73BD8" w:rsidRPr="00250E94" w:rsidRDefault="00E73BD8" w:rsidP="00B27F75">
            <w:pPr>
              <w:widowControl w:val="0"/>
              <w:spacing w:after="200" w:line="240" w:lineRule="auto"/>
              <w:rPr>
                <w:rFonts w:eastAsiaTheme="minorHAnsi"/>
                <w:sz w:val="20"/>
                <w:szCs w:val="20"/>
                <w:lang w:val="en-US"/>
              </w:rPr>
            </w:pPr>
            <w:r w:rsidRPr="00250E94">
              <w:rPr>
                <w:rFonts w:eastAsiaTheme="minorHAnsi"/>
                <w:sz w:val="20"/>
                <w:szCs w:val="20"/>
                <w:lang w:val="en-US"/>
              </w:rPr>
              <w:t>Not recorded</w:t>
            </w:r>
          </w:p>
        </w:tc>
        <w:tc>
          <w:tcPr>
            <w:tcW w:w="1256" w:type="dxa"/>
            <w:tcBorders>
              <w:top w:val="single" w:sz="4" w:space="0" w:color="000000"/>
              <w:left w:val="single" w:sz="4" w:space="0" w:color="auto"/>
              <w:bottom w:val="single" w:sz="4" w:space="0" w:color="000000"/>
              <w:right w:val="single" w:sz="4" w:space="0" w:color="auto"/>
            </w:tcBorders>
            <w:vAlign w:val="bottom"/>
          </w:tcPr>
          <w:p w14:paraId="3EC42462" w14:textId="77777777" w:rsidR="00E73BD8" w:rsidRPr="00250E94" w:rsidRDefault="00E73BD8" w:rsidP="00B27F75">
            <w:pPr>
              <w:widowControl w:val="0"/>
              <w:spacing w:after="200" w:line="240" w:lineRule="auto"/>
              <w:jc w:val="center"/>
              <w:rPr>
                <w:rFonts w:eastAsiaTheme="minorHAnsi"/>
                <w:sz w:val="20"/>
                <w:szCs w:val="20"/>
                <w:lang w:val="en-US"/>
              </w:rPr>
            </w:pPr>
            <w:r w:rsidRPr="00250E94">
              <w:rPr>
                <w:rFonts w:eastAsiaTheme="minorHAnsi"/>
                <w:sz w:val="20"/>
                <w:szCs w:val="20"/>
                <w:lang w:val="en-US"/>
              </w:rPr>
              <w:t>No information</w:t>
            </w:r>
          </w:p>
        </w:tc>
        <w:tc>
          <w:tcPr>
            <w:tcW w:w="3690" w:type="dxa"/>
            <w:tcBorders>
              <w:top w:val="single" w:sz="4" w:space="0" w:color="000000"/>
              <w:left w:val="single" w:sz="4" w:space="0" w:color="auto"/>
              <w:bottom w:val="single" w:sz="4" w:space="0" w:color="000000"/>
              <w:right w:val="single" w:sz="4" w:space="0" w:color="auto"/>
            </w:tcBorders>
            <w:vAlign w:val="bottom"/>
          </w:tcPr>
          <w:p w14:paraId="05B49115" w14:textId="77777777" w:rsidR="00E73BD8" w:rsidRPr="00250E94" w:rsidRDefault="00E73BD8" w:rsidP="00B27F75">
            <w:pPr>
              <w:widowControl w:val="0"/>
              <w:spacing w:after="200" w:line="240" w:lineRule="auto"/>
              <w:rPr>
                <w:rFonts w:eastAsiaTheme="minorHAnsi"/>
                <w:sz w:val="20"/>
                <w:szCs w:val="20"/>
                <w:lang w:val="en-US"/>
              </w:rPr>
            </w:pPr>
            <w:r w:rsidRPr="00250E94">
              <w:rPr>
                <w:rFonts w:eastAsiaTheme="minorHAnsi"/>
                <w:sz w:val="20"/>
                <w:szCs w:val="20"/>
                <w:lang w:val="en-US"/>
              </w:rPr>
              <w:t>Nile Valley</w:t>
            </w:r>
          </w:p>
        </w:tc>
        <w:tc>
          <w:tcPr>
            <w:tcW w:w="1530" w:type="dxa"/>
            <w:tcBorders>
              <w:top w:val="single" w:sz="4" w:space="0" w:color="000000"/>
              <w:left w:val="single" w:sz="4" w:space="0" w:color="auto"/>
              <w:bottom w:val="single" w:sz="4" w:space="0" w:color="000000"/>
              <w:right w:val="single" w:sz="4" w:space="0" w:color="auto"/>
            </w:tcBorders>
            <w:vAlign w:val="bottom"/>
          </w:tcPr>
          <w:p w14:paraId="7B2E7F0F" w14:textId="77777777" w:rsidR="00E73BD8" w:rsidRPr="00250E94" w:rsidRDefault="00E73BD8" w:rsidP="00B27F75">
            <w:pPr>
              <w:widowControl w:val="0"/>
              <w:spacing w:after="200" w:line="240" w:lineRule="auto"/>
              <w:jc w:val="center"/>
              <w:rPr>
                <w:rFonts w:eastAsiaTheme="minorHAnsi"/>
                <w:sz w:val="20"/>
                <w:szCs w:val="20"/>
                <w:lang w:val="en-US"/>
              </w:rPr>
            </w:pPr>
            <w:r w:rsidRPr="00250E94">
              <w:rPr>
                <w:rFonts w:eastAsiaTheme="minorHAnsi"/>
                <w:sz w:val="20"/>
                <w:szCs w:val="20"/>
                <w:lang w:val="en-US"/>
              </w:rPr>
              <w:t>+</w:t>
            </w:r>
          </w:p>
        </w:tc>
        <w:tc>
          <w:tcPr>
            <w:tcW w:w="1440" w:type="dxa"/>
            <w:tcBorders>
              <w:top w:val="single" w:sz="4" w:space="0" w:color="000000"/>
              <w:left w:val="single" w:sz="4" w:space="0" w:color="auto"/>
              <w:bottom w:val="single" w:sz="4" w:space="0" w:color="000000"/>
              <w:right w:val="single" w:sz="4" w:space="0" w:color="auto"/>
            </w:tcBorders>
          </w:tcPr>
          <w:p w14:paraId="41CD57A3" w14:textId="77777777" w:rsidR="00E73BD8" w:rsidRPr="00250E94" w:rsidRDefault="00E73BD8" w:rsidP="00B27F75">
            <w:pPr>
              <w:widowControl w:val="0"/>
              <w:spacing w:after="200" w:line="240" w:lineRule="auto"/>
              <w:jc w:val="center"/>
              <w:rPr>
                <w:rFonts w:eastAsiaTheme="minorHAnsi"/>
                <w:b/>
                <w:sz w:val="20"/>
                <w:szCs w:val="20"/>
                <w:lang w:val="en-US"/>
              </w:rPr>
            </w:pPr>
            <w:r w:rsidRPr="00250E94">
              <w:rPr>
                <w:rFonts w:eastAsiaTheme="minorHAnsi"/>
                <w:b/>
                <w:sz w:val="20"/>
                <w:szCs w:val="20"/>
                <w:lang w:val="en-US"/>
              </w:rPr>
              <w:t>No information</w:t>
            </w:r>
          </w:p>
        </w:tc>
      </w:tr>
      <w:tr w:rsidR="00E73BD8" w:rsidRPr="00250E94" w14:paraId="0DA70ED9" w14:textId="77777777" w:rsidTr="00B27F75">
        <w:trPr>
          <w:trHeight w:hRule="exact" w:val="451"/>
        </w:trPr>
        <w:tc>
          <w:tcPr>
            <w:tcW w:w="1633" w:type="dxa"/>
            <w:tcBorders>
              <w:top w:val="single" w:sz="4" w:space="0" w:color="000000"/>
              <w:left w:val="single" w:sz="4" w:space="0" w:color="auto"/>
              <w:bottom w:val="single" w:sz="4" w:space="0" w:color="000000"/>
              <w:right w:val="single" w:sz="4" w:space="0" w:color="auto"/>
            </w:tcBorders>
          </w:tcPr>
          <w:p w14:paraId="2D167F12" w14:textId="77777777" w:rsidR="00E73BD8" w:rsidRPr="00250E94" w:rsidRDefault="00E73BD8" w:rsidP="00B27F75">
            <w:pPr>
              <w:widowControl w:val="0"/>
              <w:spacing w:after="200" w:line="240" w:lineRule="auto"/>
              <w:rPr>
                <w:rFonts w:eastAsiaTheme="minorHAnsi"/>
                <w:sz w:val="20"/>
                <w:szCs w:val="20"/>
                <w:lang w:val="en-US"/>
              </w:rPr>
            </w:pPr>
            <w:r w:rsidRPr="00250E94">
              <w:rPr>
                <w:rFonts w:eastAsiaTheme="minorHAnsi"/>
                <w:sz w:val="20"/>
                <w:szCs w:val="20"/>
                <w:lang w:val="en-US"/>
              </w:rPr>
              <w:t>6115G, MB015</w:t>
            </w:r>
          </w:p>
        </w:tc>
        <w:tc>
          <w:tcPr>
            <w:tcW w:w="2408" w:type="dxa"/>
            <w:tcBorders>
              <w:top w:val="single" w:sz="4" w:space="0" w:color="000000"/>
              <w:left w:val="single" w:sz="4" w:space="0" w:color="auto"/>
              <w:bottom w:val="single" w:sz="4" w:space="0" w:color="000000"/>
              <w:right w:val="single" w:sz="4" w:space="0" w:color="auto"/>
            </w:tcBorders>
          </w:tcPr>
          <w:p w14:paraId="53159334" w14:textId="77777777" w:rsidR="00E73BD8" w:rsidRPr="00250E94" w:rsidRDefault="00E73BD8" w:rsidP="00B27F75">
            <w:pPr>
              <w:widowControl w:val="0"/>
              <w:spacing w:after="200" w:line="240" w:lineRule="auto"/>
              <w:rPr>
                <w:rFonts w:eastAsiaTheme="minorHAnsi"/>
                <w:sz w:val="20"/>
                <w:szCs w:val="20"/>
                <w:lang w:val="en-US"/>
              </w:rPr>
            </w:pPr>
            <w:r w:rsidRPr="00250E94">
              <w:rPr>
                <w:rFonts w:eastAsiaTheme="minorHAnsi"/>
                <w:sz w:val="20"/>
                <w:szCs w:val="20"/>
                <w:lang w:val="en-US"/>
              </w:rPr>
              <w:t>? (possibly Southern Palestine)</w:t>
            </w:r>
          </w:p>
        </w:tc>
        <w:tc>
          <w:tcPr>
            <w:tcW w:w="2524" w:type="dxa"/>
            <w:tcBorders>
              <w:top w:val="single" w:sz="4" w:space="0" w:color="000000"/>
              <w:left w:val="single" w:sz="4" w:space="0" w:color="auto"/>
              <w:bottom w:val="single" w:sz="4" w:space="0" w:color="000000"/>
              <w:right w:val="single" w:sz="4" w:space="0" w:color="auto"/>
            </w:tcBorders>
          </w:tcPr>
          <w:p w14:paraId="7DBD1E89" w14:textId="77777777" w:rsidR="00E73BD8" w:rsidRPr="00250E94" w:rsidRDefault="00E73BD8" w:rsidP="00B27F75">
            <w:pPr>
              <w:widowControl w:val="0"/>
              <w:spacing w:after="200" w:line="240" w:lineRule="auto"/>
              <w:rPr>
                <w:rFonts w:eastAsiaTheme="minorHAnsi"/>
                <w:sz w:val="20"/>
                <w:szCs w:val="20"/>
                <w:lang w:val="en-US"/>
              </w:rPr>
            </w:pPr>
            <w:r w:rsidRPr="00250E94">
              <w:rPr>
                <w:rFonts w:eastAsiaTheme="minorHAnsi"/>
                <w:sz w:val="20"/>
                <w:szCs w:val="20"/>
                <w:lang w:val="en-US"/>
              </w:rPr>
              <w:t>Not recorded</w:t>
            </w:r>
          </w:p>
        </w:tc>
        <w:tc>
          <w:tcPr>
            <w:tcW w:w="1256" w:type="dxa"/>
            <w:tcBorders>
              <w:top w:val="single" w:sz="4" w:space="0" w:color="000000"/>
              <w:left w:val="single" w:sz="4" w:space="0" w:color="auto"/>
              <w:bottom w:val="single" w:sz="4" w:space="0" w:color="000000"/>
              <w:right w:val="single" w:sz="4" w:space="0" w:color="auto"/>
            </w:tcBorders>
          </w:tcPr>
          <w:p w14:paraId="5B495625" w14:textId="77777777" w:rsidR="00E73BD8" w:rsidRPr="00250E94" w:rsidRDefault="00E73BD8" w:rsidP="00B27F75">
            <w:pPr>
              <w:widowControl w:val="0"/>
              <w:spacing w:after="200" w:line="240" w:lineRule="auto"/>
              <w:jc w:val="center"/>
              <w:rPr>
                <w:rFonts w:eastAsiaTheme="minorHAnsi"/>
                <w:sz w:val="20"/>
                <w:szCs w:val="20"/>
                <w:lang w:val="en-US"/>
              </w:rPr>
            </w:pPr>
            <w:r w:rsidRPr="00250E94">
              <w:rPr>
                <w:rFonts w:eastAsiaTheme="minorHAnsi"/>
                <w:sz w:val="20"/>
                <w:szCs w:val="20"/>
                <w:lang w:val="en-US"/>
              </w:rPr>
              <w:t>No information</w:t>
            </w:r>
          </w:p>
        </w:tc>
        <w:tc>
          <w:tcPr>
            <w:tcW w:w="3690" w:type="dxa"/>
            <w:tcBorders>
              <w:top w:val="single" w:sz="4" w:space="0" w:color="000000"/>
              <w:left w:val="single" w:sz="4" w:space="0" w:color="auto"/>
              <w:bottom w:val="single" w:sz="4" w:space="0" w:color="000000"/>
              <w:right w:val="single" w:sz="4" w:space="0" w:color="auto"/>
            </w:tcBorders>
          </w:tcPr>
          <w:p w14:paraId="277AA455" w14:textId="77777777" w:rsidR="00E73BD8" w:rsidRPr="00250E94" w:rsidRDefault="00E73BD8" w:rsidP="00B27F75">
            <w:pPr>
              <w:widowControl w:val="0"/>
              <w:spacing w:after="200" w:line="240" w:lineRule="auto"/>
              <w:rPr>
                <w:rFonts w:eastAsiaTheme="minorHAnsi"/>
                <w:sz w:val="20"/>
                <w:szCs w:val="20"/>
                <w:lang w:val="en-US"/>
              </w:rPr>
            </w:pPr>
            <w:r w:rsidRPr="00250E94">
              <w:rPr>
                <w:rFonts w:eastAsiaTheme="minorHAnsi"/>
                <w:sz w:val="20"/>
                <w:szCs w:val="20"/>
                <w:lang w:val="en-US"/>
              </w:rPr>
              <w:t>Eastern Galilee or the Yarmuq area, or the Akkar or Middle Orontes north of Qedesh</w:t>
            </w:r>
          </w:p>
        </w:tc>
        <w:tc>
          <w:tcPr>
            <w:tcW w:w="1530" w:type="dxa"/>
            <w:tcBorders>
              <w:top w:val="single" w:sz="4" w:space="0" w:color="000000"/>
              <w:left w:val="single" w:sz="4" w:space="0" w:color="auto"/>
              <w:bottom w:val="single" w:sz="4" w:space="0" w:color="000000"/>
              <w:right w:val="single" w:sz="4" w:space="0" w:color="auto"/>
            </w:tcBorders>
          </w:tcPr>
          <w:p w14:paraId="26FF1105" w14:textId="77777777" w:rsidR="00E73BD8" w:rsidRPr="00250E94" w:rsidRDefault="00E73BD8" w:rsidP="00B27F75">
            <w:pPr>
              <w:widowControl w:val="0"/>
              <w:spacing w:after="200" w:line="240" w:lineRule="auto"/>
              <w:jc w:val="center"/>
              <w:rPr>
                <w:rFonts w:eastAsiaTheme="minorHAnsi"/>
                <w:sz w:val="20"/>
                <w:szCs w:val="20"/>
                <w:lang w:val="en-US"/>
              </w:rPr>
            </w:pPr>
            <w:r w:rsidRPr="00250E94">
              <w:rPr>
                <w:rFonts w:eastAsiaTheme="minorHAnsi"/>
                <w:sz w:val="20"/>
                <w:szCs w:val="20"/>
                <w:lang w:val="en-US"/>
              </w:rPr>
              <w:t>N.D. (should be -)</w:t>
            </w:r>
          </w:p>
        </w:tc>
        <w:tc>
          <w:tcPr>
            <w:tcW w:w="1440" w:type="dxa"/>
            <w:tcBorders>
              <w:top w:val="single" w:sz="4" w:space="0" w:color="000000"/>
              <w:left w:val="single" w:sz="4" w:space="0" w:color="auto"/>
              <w:bottom w:val="single" w:sz="4" w:space="0" w:color="000000"/>
              <w:right w:val="single" w:sz="4" w:space="0" w:color="auto"/>
            </w:tcBorders>
          </w:tcPr>
          <w:p w14:paraId="223CB2E0" w14:textId="77777777" w:rsidR="00E73BD8" w:rsidRPr="00250E94" w:rsidRDefault="00E73BD8" w:rsidP="00B27F75">
            <w:pPr>
              <w:widowControl w:val="0"/>
              <w:spacing w:after="200" w:line="240" w:lineRule="auto"/>
              <w:jc w:val="center"/>
              <w:rPr>
                <w:rFonts w:eastAsiaTheme="minorHAnsi"/>
                <w:b/>
                <w:sz w:val="20"/>
                <w:szCs w:val="20"/>
                <w:lang w:val="en-US"/>
              </w:rPr>
            </w:pPr>
            <w:r w:rsidRPr="00250E94">
              <w:rPr>
                <w:rFonts w:eastAsiaTheme="minorHAnsi"/>
                <w:b/>
                <w:sz w:val="20"/>
                <w:szCs w:val="20"/>
                <w:lang w:val="en-US"/>
              </w:rPr>
              <w:t>No information</w:t>
            </w:r>
          </w:p>
        </w:tc>
      </w:tr>
      <w:tr w:rsidR="00E73BD8" w:rsidRPr="00250E94" w14:paraId="704C3732" w14:textId="77777777" w:rsidTr="00B27F75">
        <w:trPr>
          <w:trHeight w:hRule="exact" w:val="271"/>
        </w:trPr>
        <w:tc>
          <w:tcPr>
            <w:tcW w:w="1633" w:type="dxa"/>
            <w:tcBorders>
              <w:top w:val="single" w:sz="4" w:space="0" w:color="000000"/>
              <w:left w:val="single" w:sz="4" w:space="0" w:color="auto"/>
              <w:bottom w:val="single" w:sz="4" w:space="0" w:color="000000"/>
              <w:right w:val="single" w:sz="4" w:space="0" w:color="auto"/>
            </w:tcBorders>
            <w:vAlign w:val="bottom"/>
          </w:tcPr>
          <w:p w14:paraId="5CF15BA5" w14:textId="77777777" w:rsidR="00E73BD8" w:rsidRPr="00250E94" w:rsidRDefault="00E73BD8" w:rsidP="00B27F75">
            <w:pPr>
              <w:widowControl w:val="0"/>
              <w:spacing w:after="200" w:line="240" w:lineRule="auto"/>
              <w:rPr>
                <w:rFonts w:eastAsiaTheme="minorHAnsi"/>
                <w:sz w:val="20"/>
                <w:szCs w:val="20"/>
                <w:lang w:val="en-US"/>
              </w:rPr>
            </w:pPr>
            <w:r w:rsidRPr="00250E94">
              <w:rPr>
                <w:rFonts w:eastAsiaTheme="minorHAnsi"/>
                <w:sz w:val="20"/>
                <w:szCs w:val="20"/>
                <w:lang w:val="en-US"/>
              </w:rPr>
              <w:t>6115Y, MB018</w:t>
            </w:r>
          </w:p>
        </w:tc>
        <w:tc>
          <w:tcPr>
            <w:tcW w:w="2408" w:type="dxa"/>
            <w:tcBorders>
              <w:top w:val="single" w:sz="4" w:space="0" w:color="000000"/>
              <w:left w:val="single" w:sz="4" w:space="0" w:color="auto"/>
              <w:bottom w:val="single" w:sz="4" w:space="0" w:color="000000"/>
              <w:right w:val="single" w:sz="4" w:space="0" w:color="auto"/>
            </w:tcBorders>
            <w:vAlign w:val="bottom"/>
          </w:tcPr>
          <w:p w14:paraId="3255A75A" w14:textId="77777777" w:rsidR="00E73BD8" w:rsidRPr="00250E94" w:rsidRDefault="00E73BD8" w:rsidP="00B27F75">
            <w:pPr>
              <w:widowControl w:val="0"/>
              <w:spacing w:after="200" w:line="240" w:lineRule="auto"/>
              <w:rPr>
                <w:rFonts w:eastAsiaTheme="minorHAnsi"/>
                <w:sz w:val="20"/>
                <w:szCs w:val="20"/>
                <w:lang w:val="en-US"/>
              </w:rPr>
            </w:pPr>
            <w:r w:rsidRPr="00250E94">
              <w:rPr>
                <w:rFonts w:eastAsiaTheme="minorHAnsi"/>
                <w:sz w:val="20"/>
                <w:szCs w:val="20"/>
                <w:lang w:val="en-US"/>
              </w:rPr>
              <w:t>Southern Palestine</w:t>
            </w:r>
          </w:p>
        </w:tc>
        <w:tc>
          <w:tcPr>
            <w:tcW w:w="2524" w:type="dxa"/>
            <w:tcBorders>
              <w:top w:val="single" w:sz="4" w:space="0" w:color="000000"/>
              <w:left w:val="single" w:sz="4" w:space="0" w:color="auto"/>
              <w:bottom w:val="single" w:sz="4" w:space="0" w:color="000000"/>
              <w:right w:val="single" w:sz="4" w:space="0" w:color="auto"/>
            </w:tcBorders>
            <w:vAlign w:val="bottom"/>
          </w:tcPr>
          <w:p w14:paraId="1B01FC71" w14:textId="77777777" w:rsidR="00E73BD8" w:rsidRPr="00250E94" w:rsidRDefault="00E73BD8" w:rsidP="00B27F75">
            <w:pPr>
              <w:widowControl w:val="0"/>
              <w:spacing w:after="200" w:line="240" w:lineRule="auto"/>
              <w:rPr>
                <w:rFonts w:eastAsiaTheme="minorHAnsi"/>
                <w:sz w:val="20"/>
                <w:szCs w:val="20"/>
                <w:lang w:val="en-US"/>
              </w:rPr>
            </w:pPr>
            <w:r w:rsidRPr="00250E94">
              <w:rPr>
                <w:rFonts w:eastAsiaTheme="minorHAnsi"/>
                <w:sz w:val="20"/>
                <w:szCs w:val="20"/>
                <w:lang w:val="en-US"/>
              </w:rPr>
              <w:t>Not recorded</w:t>
            </w:r>
          </w:p>
        </w:tc>
        <w:tc>
          <w:tcPr>
            <w:tcW w:w="1256" w:type="dxa"/>
            <w:tcBorders>
              <w:top w:val="single" w:sz="4" w:space="0" w:color="000000"/>
              <w:left w:val="single" w:sz="4" w:space="0" w:color="auto"/>
              <w:bottom w:val="single" w:sz="4" w:space="0" w:color="000000"/>
              <w:right w:val="single" w:sz="4" w:space="0" w:color="auto"/>
            </w:tcBorders>
            <w:vAlign w:val="bottom"/>
          </w:tcPr>
          <w:p w14:paraId="363E3F3D" w14:textId="77777777" w:rsidR="00E73BD8" w:rsidRPr="00250E94" w:rsidRDefault="00E73BD8" w:rsidP="00B27F75">
            <w:pPr>
              <w:widowControl w:val="0"/>
              <w:spacing w:after="200" w:line="240" w:lineRule="auto"/>
              <w:jc w:val="center"/>
              <w:rPr>
                <w:rFonts w:eastAsiaTheme="minorHAnsi"/>
                <w:sz w:val="20"/>
                <w:szCs w:val="20"/>
                <w:lang w:val="en-US"/>
              </w:rPr>
            </w:pPr>
            <w:r w:rsidRPr="00250E94">
              <w:rPr>
                <w:rFonts w:eastAsiaTheme="minorHAnsi"/>
                <w:sz w:val="20"/>
                <w:szCs w:val="20"/>
                <w:lang w:val="en-US"/>
              </w:rPr>
              <w:t>No information</w:t>
            </w:r>
          </w:p>
        </w:tc>
        <w:tc>
          <w:tcPr>
            <w:tcW w:w="3690" w:type="dxa"/>
            <w:tcBorders>
              <w:top w:val="single" w:sz="4" w:space="0" w:color="000000"/>
              <w:left w:val="single" w:sz="4" w:space="0" w:color="auto"/>
              <w:bottom w:val="single" w:sz="4" w:space="0" w:color="000000"/>
              <w:right w:val="single" w:sz="4" w:space="0" w:color="auto"/>
            </w:tcBorders>
            <w:vAlign w:val="bottom"/>
          </w:tcPr>
          <w:p w14:paraId="0D0CC5E1" w14:textId="77777777" w:rsidR="00E73BD8" w:rsidRPr="00250E94" w:rsidRDefault="00E73BD8" w:rsidP="00B27F75">
            <w:pPr>
              <w:widowControl w:val="0"/>
              <w:spacing w:after="200" w:line="240" w:lineRule="auto"/>
              <w:rPr>
                <w:rFonts w:eastAsiaTheme="minorHAnsi"/>
                <w:sz w:val="20"/>
                <w:szCs w:val="20"/>
                <w:lang w:val="en-US"/>
              </w:rPr>
            </w:pPr>
            <w:r w:rsidRPr="00250E94">
              <w:rPr>
                <w:rFonts w:eastAsiaTheme="minorHAnsi"/>
                <w:sz w:val="20"/>
                <w:szCs w:val="20"/>
                <w:lang w:val="en-US"/>
              </w:rPr>
              <w:t>unknown</w:t>
            </w:r>
          </w:p>
        </w:tc>
        <w:tc>
          <w:tcPr>
            <w:tcW w:w="1530" w:type="dxa"/>
            <w:tcBorders>
              <w:top w:val="single" w:sz="4" w:space="0" w:color="000000"/>
              <w:left w:val="single" w:sz="4" w:space="0" w:color="auto"/>
              <w:bottom w:val="single" w:sz="4" w:space="0" w:color="000000"/>
              <w:right w:val="single" w:sz="4" w:space="0" w:color="auto"/>
            </w:tcBorders>
            <w:vAlign w:val="bottom"/>
          </w:tcPr>
          <w:p w14:paraId="3E0FFD7D" w14:textId="77777777" w:rsidR="00E73BD8" w:rsidRPr="00250E94" w:rsidRDefault="00E73BD8" w:rsidP="00B27F75">
            <w:pPr>
              <w:widowControl w:val="0"/>
              <w:spacing w:after="200" w:line="240" w:lineRule="auto"/>
              <w:jc w:val="center"/>
              <w:rPr>
                <w:rFonts w:eastAsiaTheme="minorHAnsi"/>
                <w:sz w:val="20"/>
                <w:szCs w:val="20"/>
                <w:lang w:val="en-US"/>
              </w:rPr>
            </w:pPr>
            <w:r w:rsidRPr="00250E94">
              <w:rPr>
                <w:rFonts w:eastAsiaTheme="minorHAnsi"/>
                <w:sz w:val="20"/>
                <w:szCs w:val="20"/>
                <w:lang w:val="en-US"/>
              </w:rPr>
              <w:t>N.D. (should be -)</w:t>
            </w:r>
          </w:p>
        </w:tc>
        <w:tc>
          <w:tcPr>
            <w:tcW w:w="1440" w:type="dxa"/>
            <w:tcBorders>
              <w:top w:val="single" w:sz="4" w:space="0" w:color="000000"/>
              <w:left w:val="single" w:sz="4" w:space="0" w:color="auto"/>
              <w:bottom w:val="single" w:sz="4" w:space="0" w:color="000000"/>
              <w:right w:val="single" w:sz="4" w:space="0" w:color="auto"/>
            </w:tcBorders>
          </w:tcPr>
          <w:p w14:paraId="067C7975" w14:textId="77777777" w:rsidR="00E73BD8" w:rsidRPr="00250E94" w:rsidRDefault="00E73BD8" w:rsidP="00B27F75">
            <w:pPr>
              <w:widowControl w:val="0"/>
              <w:spacing w:after="200" w:line="240" w:lineRule="auto"/>
              <w:jc w:val="center"/>
              <w:rPr>
                <w:rFonts w:eastAsiaTheme="minorHAnsi"/>
                <w:b/>
                <w:sz w:val="20"/>
                <w:szCs w:val="20"/>
                <w:lang w:val="en-US"/>
              </w:rPr>
            </w:pPr>
            <w:r w:rsidRPr="00250E94">
              <w:rPr>
                <w:rFonts w:eastAsiaTheme="minorHAnsi"/>
                <w:b/>
                <w:sz w:val="20"/>
                <w:szCs w:val="20"/>
                <w:lang w:val="en-US"/>
              </w:rPr>
              <w:t>No information</w:t>
            </w:r>
          </w:p>
        </w:tc>
      </w:tr>
      <w:tr w:rsidR="00E73BD8" w:rsidRPr="00250E94" w14:paraId="24BF9BA8" w14:textId="77777777" w:rsidTr="00B27F75">
        <w:trPr>
          <w:trHeight w:hRule="exact" w:val="451"/>
        </w:trPr>
        <w:tc>
          <w:tcPr>
            <w:tcW w:w="1633" w:type="dxa"/>
            <w:tcBorders>
              <w:top w:val="single" w:sz="4" w:space="0" w:color="000000"/>
              <w:left w:val="single" w:sz="4" w:space="0" w:color="auto"/>
              <w:bottom w:val="single" w:sz="4" w:space="0" w:color="000000"/>
              <w:right w:val="single" w:sz="4" w:space="0" w:color="auto"/>
            </w:tcBorders>
          </w:tcPr>
          <w:p w14:paraId="36EE741F" w14:textId="77777777" w:rsidR="00E73BD8" w:rsidRPr="00250E94" w:rsidRDefault="00E73BD8" w:rsidP="00B27F75">
            <w:pPr>
              <w:widowControl w:val="0"/>
              <w:spacing w:after="200" w:line="240" w:lineRule="auto"/>
              <w:rPr>
                <w:rFonts w:eastAsiaTheme="minorHAnsi"/>
                <w:sz w:val="20"/>
                <w:szCs w:val="20"/>
                <w:lang w:val="en-US"/>
              </w:rPr>
            </w:pPr>
            <w:r w:rsidRPr="00250E94">
              <w:rPr>
                <w:rFonts w:eastAsiaTheme="minorHAnsi"/>
                <w:sz w:val="20"/>
                <w:szCs w:val="20"/>
                <w:lang w:val="en-US"/>
              </w:rPr>
              <w:t>7029A, PMG105</w:t>
            </w:r>
          </w:p>
        </w:tc>
        <w:tc>
          <w:tcPr>
            <w:tcW w:w="2408" w:type="dxa"/>
            <w:tcBorders>
              <w:top w:val="single" w:sz="4" w:space="0" w:color="000000"/>
              <w:left w:val="single" w:sz="4" w:space="0" w:color="auto"/>
              <w:bottom w:val="single" w:sz="4" w:space="0" w:color="000000"/>
              <w:right w:val="single" w:sz="4" w:space="0" w:color="auto"/>
            </w:tcBorders>
          </w:tcPr>
          <w:p w14:paraId="74E9A5F2" w14:textId="77777777" w:rsidR="00E73BD8" w:rsidRPr="00250E94" w:rsidRDefault="00E73BD8" w:rsidP="00B27F75">
            <w:pPr>
              <w:widowControl w:val="0"/>
              <w:spacing w:after="200" w:line="240" w:lineRule="auto"/>
              <w:rPr>
                <w:rFonts w:eastAsiaTheme="minorHAnsi"/>
                <w:sz w:val="20"/>
                <w:szCs w:val="20"/>
                <w:lang w:val="en-US"/>
              </w:rPr>
            </w:pPr>
            <w:r w:rsidRPr="00250E94">
              <w:rPr>
                <w:rFonts w:eastAsiaTheme="minorHAnsi"/>
                <w:sz w:val="20"/>
                <w:szCs w:val="20"/>
                <w:lang w:val="en-US"/>
              </w:rPr>
              <w:t>?</w:t>
            </w:r>
          </w:p>
        </w:tc>
        <w:tc>
          <w:tcPr>
            <w:tcW w:w="2524" w:type="dxa"/>
            <w:tcBorders>
              <w:top w:val="single" w:sz="4" w:space="0" w:color="000000"/>
              <w:left w:val="single" w:sz="4" w:space="0" w:color="auto"/>
              <w:bottom w:val="single" w:sz="4" w:space="0" w:color="000000"/>
              <w:right w:val="single" w:sz="4" w:space="0" w:color="auto"/>
            </w:tcBorders>
            <w:vAlign w:val="bottom"/>
          </w:tcPr>
          <w:p w14:paraId="42902934" w14:textId="77777777" w:rsidR="00E73BD8" w:rsidRPr="00250E94" w:rsidRDefault="00E73BD8" w:rsidP="00B27F75">
            <w:pPr>
              <w:widowControl w:val="0"/>
              <w:spacing w:after="200" w:line="240" w:lineRule="auto"/>
              <w:rPr>
                <w:rFonts w:eastAsiaTheme="minorHAnsi"/>
                <w:sz w:val="20"/>
                <w:szCs w:val="20"/>
                <w:lang w:val="en-US"/>
              </w:rPr>
            </w:pPr>
            <w:r w:rsidRPr="00250E94">
              <w:rPr>
                <w:rFonts w:eastAsiaTheme="minorHAnsi"/>
                <w:sz w:val="20"/>
                <w:szCs w:val="20"/>
                <w:lang w:val="en-US"/>
              </w:rPr>
              <w:t>Southern Lebanon or Northern Israel</w:t>
            </w:r>
          </w:p>
        </w:tc>
        <w:tc>
          <w:tcPr>
            <w:tcW w:w="1256" w:type="dxa"/>
            <w:tcBorders>
              <w:top w:val="single" w:sz="4" w:space="0" w:color="000000"/>
              <w:left w:val="single" w:sz="4" w:space="0" w:color="auto"/>
              <w:bottom w:val="single" w:sz="4" w:space="0" w:color="000000"/>
              <w:right w:val="single" w:sz="4" w:space="0" w:color="auto"/>
            </w:tcBorders>
            <w:vAlign w:val="bottom"/>
          </w:tcPr>
          <w:p w14:paraId="2F898622" w14:textId="77777777" w:rsidR="00E73BD8" w:rsidRPr="00250E94" w:rsidRDefault="00E73BD8" w:rsidP="00B27F75">
            <w:pPr>
              <w:widowControl w:val="0"/>
              <w:spacing w:after="200" w:line="240" w:lineRule="auto"/>
              <w:jc w:val="center"/>
              <w:rPr>
                <w:rFonts w:eastAsiaTheme="minorHAnsi"/>
                <w:sz w:val="20"/>
                <w:szCs w:val="20"/>
                <w:lang w:val="en-US"/>
              </w:rPr>
            </w:pPr>
            <w:r w:rsidRPr="00250E94">
              <w:rPr>
                <w:rFonts w:eastAsiaTheme="minorHAnsi"/>
                <w:sz w:val="20"/>
                <w:szCs w:val="20"/>
                <w:lang w:val="en-US"/>
              </w:rPr>
              <w:t>-</w:t>
            </w:r>
          </w:p>
        </w:tc>
        <w:tc>
          <w:tcPr>
            <w:tcW w:w="3690" w:type="dxa"/>
            <w:tcBorders>
              <w:top w:val="single" w:sz="4" w:space="0" w:color="000000"/>
              <w:left w:val="single" w:sz="4" w:space="0" w:color="auto"/>
              <w:bottom w:val="single" w:sz="4" w:space="0" w:color="000000"/>
              <w:right w:val="single" w:sz="4" w:space="0" w:color="auto"/>
            </w:tcBorders>
            <w:vAlign w:val="bottom"/>
          </w:tcPr>
          <w:p w14:paraId="49EBA2D0" w14:textId="77777777" w:rsidR="00E73BD8" w:rsidRPr="00250E94" w:rsidRDefault="00E73BD8" w:rsidP="00B27F75">
            <w:pPr>
              <w:widowControl w:val="0"/>
              <w:spacing w:after="200" w:line="240" w:lineRule="auto"/>
              <w:rPr>
                <w:rFonts w:eastAsiaTheme="minorHAnsi"/>
                <w:sz w:val="20"/>
                <w:szCs w:val="20"/>
                <w:lang w:val="en-US"/>
              </w:rPr>
            </w:pPr>
            <w:r w:rsidRPr="00250E94">
              <w:rPr>
                <w:rFonts w:eastAsiaTheme="minorHAnsi"/>
                <w:sz w:val="20"/>
                <w:szCs w:val="20"/>
                <w:lang w:val="en-US"/>
              </w:rPr>
              <w:t>Lebanon east of the coast line Beirut-Byblos</w:t>
            </w:r>
          </w:p>
        </w:tc>
        <w:tc>
          <w:tcPr>
            <w:tcW w:w="1530" w:type="dxa"/>
            <w:tcBorders>
              <w:top w:val="single" w:sz="4" w:space="0" w:color="000000"/>
              <w:left w:val="single" w:sz="4" w:space="0" w:color="auto"/>
              <w:bottom w:val="single" w:sz="4" w:space="0" w:color="000000"/>
              <w:right w:val="single" w:sz="4" w:space="0" w:color="auto"/>
            </w:tcBorders>
            <w:vAlign w:val="bottom"/>
          </w:tcPr>
          <w:p w14:paraId="6FD1E4F2" w14:textId="77777777" w:rsidR="00E73BD8" w:rsidRPr="00250E94" w:rsidRDefault="00E73BD8" w:rsidP="00B27F75">
            <w:pPr>
              <w:widowControl w:val="0"/>
              <w:spacing w:after="200" w:line="240" w:lineRule="auto"/>
              <w:jc w:val="center"/>
              <w:rPr>
                <w:rFonts w:eastAsiaTheme="minorHAnsi"/>
                <w:sz w:val="20"/>
                <w:szCs w:val="20"/>
                <w:lang w:val="en-US"/>
              </w:rPr>
            </w:pPr>
            <w:r w:rsidRPr="00250E94">
              <w:rPr>
                <w:rFonts w:eastAsiaTheme="minorHAnsi"/>
                <w:sz w:val="20"/>
                <w:szCs w:val="20"/>
                <w:lang w:val="en-US"/>
              </w:rPr>
              <w:t>N.D. (should be -)</w:t>
            </w:r>
          </w:p>
        </w:tc>
        <w:tc>
          <w:tcPr>
            <w:tcW w:w="1440" w:type="dxa"/>
            <w:tcBorders>
              <w:top w:val="single" w:sz="4" w:space="0" w:color="000000"/>
              <w:left w:val="single" w:sz="4" w:space="0" w:color="auto"/>
              <w:bottom w:val="single" w:sz="4" w:space="0" w:color="000000"/>
              <w:right w:val="single" w:sz="4" w:space="0" w:color="auto"/>
            </w:tcBorders>
          </w:tcPr>
          <w:p w14:paraId="6248FA85" w14:textId="77777777" w:rsidR="00E73BD8" w:rsidRPr="00250E94" w:rsidRDefault="00E73BD8" w:rsidP="00B27F75">
            <w:pPr>
              <w:widowControl w:val="0"/>
              <w:spacing w:after="200" w:line="240" w:lineRule="auto"/>
              <w:jc w:val="center"/>
              <w:rPr>
                <w:rFonts w:eastAsiaTheme="minorHAnsi"/>
                <w:b/>
                <w:sz w:val="20"/>
                <w:szCs w:val="20"/>
                <w:lang w:val="en-US"/>
              </w:rPr>
            </w:pPr>
            <w:r w:rsidRPr="00250E94">
              <w:rPr>
                <w:rFonts w:eastAsiaTheme="minorHAnsi"/>
                <w:b/>
                <w:sz w:val="20"/>
                <w:szCs w:val="20"/>
                <w:lang w:val="en-US"/>
              </w:rPr>
              <w:t>Probably +</w:t>
            </w:r>
          </w:p>
        </w:tc>
      </w:tr>
      <w:tr w:rsidR="00E73BD8" w:rsidRPr="00250E94" w14:paraId="0F12BBBE" w14:textId="77777777" w:rsidTr="00B27F75">
        <w:trPr>
          <w:trHeight w:hRule="exact" w:val="451"/>
        </w:trPr>
        <w:tc>
          <w:tcPr>
            <w:tcW w:w="1633" w:type="dxa"/>
            <w:tcBorders>
              <w:top w:val="single" w:sz="4" w:space="0" w:color="000000"/>
              <w:left w:val="single" w:sz="4" w:space="0" w:color="auto"/>
              <w:bottom w:val="single" w:sz="4" w:space="0" w:color="000000"/>
              <w:right w:val="single" w:sz="4" w:space="0" w:color="auto"/>
            </w:tcBorders>
            <w:vAlign w:val="bottom"/>
          </w:tcPr>
          <w:p w14:paraId="65C33F9D" w14:textId="77777777" w:rsidR="00E73BD8" w:rsidRPr="00250E94" w:rsidRDefault="00E73BD8" w:rsidP="00B27F75">
            <w:pPr>
              <w:widowControl w:val="0"/>
              <w:spacing w:after="200" w:line="240" w:lineRule="auto"/>
              <w:rPr>
                <w:rFonts w:eastAsiaTheme="minorHAnsi"/>
                <w:sz w:val="20"/>
                <w:szCs w:val="20"/>
                <w:lang w:val="en-US"/>
              </w:rPr>
            </w:pPr>
            <w:r w:rsidRPr="00250E94">
              <w:rPr>
                <w:rFonts w:eastAsiaTheme="minorHAnsi"/>
                <w:sz w:val="20"/>
                <w:szCs w:val="20"/>
                <w:lang w:val="en-US"/>
              </w:rPr>
              <w:t>K411, JH002</w:t>
            </w:r>
          </w:p>
        </w:tc>
        <w:tc>
          <w:tcPr>
            <w:tcW w:w="2408" w:type="dxa"/>
            <w:tcBorders>
              <w:top w:val="single" w:sz="4" w:space="0" w:color="000000"/>
              <w:left w:val="single" w:sz="4" w:space="0" w:color="auto"/>
              <w:bottom w:val="single" w:sz="4" w:space="0" w:color="000000"/>
              <w:right w:val="single" w:sz="4" w:space="0" w:color="auto"/>
            </w:tcBorders>
            <w:vAlign w:val="bottom"/>
          </w:tcPr>
          <w:p w14:paraId="0E6C6419" w14:textId="77777777" w:rsidR="00E73BD8" w:rsidRPr="00250E94" w:rsidRDefault="00E73BD8" w:rsidP="00B27F75">
            <w:pPr>
              <w:widowControl w:val="0"/>
              <w:spacing w:after="200" w:line="240" w:lineRule="auto"/>
              <w:rPr>
                <w:rFonts w:eastAsiaTheme="minorHAnsi"/>
                <w:sz w:val="20"/>
                <w:szCs w:val="20"/>
                <w:lang w:val="en-US"/>
              </w:rPr>
            </w:pPr>
            <w:r w:rsidRPr="00250E94">
              <w:rPr>
                <w:rFonts w:eastAsiaTheme="minorHAnsi"/>
                <w:sz w:val="20"/>
                <w:szCs w:val="20"/>
                <w:lang w:val="en-US"/>
              </w:rPr>
              <w:t>? (possibly Southern Palestine)</w:t>
            </w:r>
          </w:p>
        </w:tc>
        <w:tc>
          <w:tcPr>
            <w:tcW w:w="2524" w:type="dxa"/>
            <w:tcBorders>
              <w:top w:val="single" w:sz="4" w:space="0" w:color="000000"/>
              <w:left w:val="single" w:sz="4" w:space="0" w:color="auto"/>
              <w:bottom w:val="single" w:sz="4" w:space="0" w:color="000000"/>
              <w:right w:val="single" w:sz="4" w:space="0" w:color="auto"/>
            </w:tcBorders>
            <w:vAlign w:val="bottom"/>
          </w:tcPr>
          <w:p w14:paraId="6F48C26F" w14:textId="77777777" w:rsidR="00E73BD8" w:rsidRPr="00250E94" w:rsidRDefault="00E73BD8" w:rsidP="00B27F75">
            <w:pPr>
              <w:widowControl w:val="0"/>
              <w:spacing w:after="200" w:line="240" w:lineRule="auto"/>
              <w:rPr>
                <w:rFonts w:eastAsiaTheme="minorHAnsi"/>
                <w:sz w:val="20"/>
                <w:szCs w:val="20"/>
                <w:lang w:val="en-US"/>
              </w:rPr>
            </w:pPr>
            <w:r w:rsidRPr="00250E94">
              <w:rPr>
                <w:rFonts w:eastAsiaTheme="minorHAnsi"/>
                <w:sz w:val="20"/>
                <w:szCs w:val="20"/>
                <w:lang w:val="en-US"/>
              </w:rPr>
              <w:t>Northern Syria, Cyprus, Cilician Plain, or Southern Anatolia</w:t>
            </w:r>
          </w:p>
        </w:tc>
        <w:tc>
          <w:tcPr>
            <w:tcW w:w="1256" w:type="dxa"/>
            <w:tcBorders>
              <w:top w:val="single" w:sz="4" w:space="0" w:color="000000"/>
              <w:left w:val="single" w:sz="4" w:space="0" w:color="auto"/>
              <w:bottom w:val="single" w:sz="4" w:space="0" w:color="000000"/>
              <w:right w:val="single" w:sz="4" w:space="0" w:color="auto"/>
            </w:tcBorders>
            <w:vAlign w:val="bottom"/>
          </w:tcPr>
          <w:p w14:paraId="555814BC" w14:textId="77777777" w:rsidR="00E73BD8" w:rsidRPr="00250E94" w:rsidRDefault="00E73BD8" w:rsidP="00B27F75">
            <w:pPr>
              <w:widowControl w:val="0"/>
              <w:spacing w:after="200" w:line="240" w:lineRule="auto"/>
              <w:jc w:val="center"/>
              <w:rPr>
                <w:rFonts w:eastAsiaTheme="minorHAnsi"/>
                <w:sz w:val="20"/>
                <w:szCs w:val="20"/>
                <w:lang w:val="en-US"/>
              </w:rPr>
            </w:pPr>
            <w:r w:rsidRPr="00250E94">
              <w:rPr>
                <w:rFonts w:eastAsiaTheme="minorHAnsi"/>
                <w:sz w:val="20"/>
                <w:szCs w:val="20"/>
                <w:lang w:val="en-US"/>
              </w:rPr>
              <w:t>-</w:t>
            </w:r>
          </w:p>
        </w:tc>
        <w:tc>
          <w:tcPr>
            <w:tcW w:w="3690" w:type="dxa"/>
            <w:tcBorders>
              <w:top w:val="single" w:sz="4" w:space="0" w:color="000000"/>
              <w:left w:val="single" w:sz="4" w:space="0" w:color="auto"/>
              <w:bottom w:val="single" w:sz="4" w:space="0" w:color="000000"/>
              <w:right w:val="single" w:sz="4" w:space="0" w:color="auto"/>
            </w:tcBorders>
            <w:vAlign w:val="bottom"/>
          </w:tcPr>
          <w:p w14:paraId="2F20463E" w14:textId="77777777" w:rsidR="00E73BD8" w:rsidRPr="00250E94" w:rsidRDefault="00E73BD8" w:rsidP="00B27F75">
            <w:pPr>
              <w:widowControl w:val="0"/>
              <w:spacing w:after="200" w:line="240" w:lineRule="auto"/>
              <w:rPr>
                <w:rFonts w:eastAsiaTheme="minorHAnsi"/>
                <w:sz w:val="20"/>
                <w:szCs w:val="20"/>
                <w:lang w:val="en-US"/>
              </w:rPr>
            </w:pPr>
            <w:r w:rsidRPr="00250E94">
              <w:rPr>
                <w:rFonts w:eastAsiaTheme="minorHAnsi"/>
                <w:sz w:val="20"/>
                <w:szCs w:val="20"/>
                <w:lang w:val="en-US"/>
              </w:rPr>
              <w:t>Northwest Syria or Cilicia</w:t>
            </w:r>
          </w:p>
        </w:tc>
        <w:tc>
          <w:tcPr>
            <w:tcW w:w="1530" w:type="dxa"/>
            <w:tcBorders>
              <w:top w:val="single" w:sz="4" w:space="0" w:color="000000"/>
              <w:left w:val="single" w:sz="4" w:space="0" w:color="auto"/>
              <w:bottom w:val="single" w:sz="4" w:space="0" w:color="000000"/>
              <w:right w:val="single" w:sz="4" w:space="0" w:color="auto"/>
            </w:tcBorders>
            <w:vAlign w:val="bottom"/>
          </w:tcPr>
          <w:p w14:paraId="0433791E" w14:textId="77777777" w:rsidR="00E73BD8" w:rsidRPr="00250E94" w:rsidRDefault="00E73BD8" w:rsidP="00B27F75">
            <w:pPr>
              <w:widowControl w:val="0"/>
              <w:spacing w:after="200" w:line="240" w:lineRule="auto"/>
              <w:jc w:val="center"/>
              <w:rPr>
                <w:rFonts w:eastAsiaTheme="minorHAnsi"/>
                <w:sz w:val="20"/>
                <w:szCs w:val="20"/>
                <w:lang w:val="en-US"/>
              </w:rPr>
            </w:pPr>
            <w:r w:rsidRPr="00250E94">
              <w:rPr>
                <w:rFonts w:eastAsiaTheme="minorHAnsi"/>
                <w:sz w:val="20"/>
                <w:szCs w:val="20"/>
                <w:lang w:val="en-US"/>
              </w:rPr>
              <w:t>+</w:t>
            </w:r>
          </w:p>
        </w:tc>
        <w:tc>
          <w:tcPr>
            <w:tcW w:w="1440" w:type="dxa"/>
            <w:tcBorders>
              <w:top w:val="single" w:sz="4" w:space="0" w:color="000000"/>
              <w:left w:val="single" w:sz="4" w:space="0" w:color="auto"/>
              <w:bottom w:val="single" w:sz="4" w:space="0" w:color="000000"/>
              <w:right w:val="single" w:sz="4" w:space="0" w:color="auto"/>
            </w:tcBorders>
          </w:tcPr>
          <w:p w14:paraId="45BA170A" w14:textId="77777777" w:rsidR="00E73BD8" w:rsidRPr="00250E94" w:rsidRDefault="00E73BD8" w:rsidP="00B27F75">
            <w:pPr>
              <w:widowControl w:val="0"/>
              <w:spacing w:after="200" w:line="240" w:lineRule="auto"/>
              <w:jc w:val="center"/>
              <w:rPr>
                <w:rFonts w:eastAsiaTheme="minorHAnsi"/>
                <w:b/>
                <w:sz w:val="20"/>
                <w:szCs w:val="20"/>
                <w:lang w:val="en-US"/>
              </w:rPr>
            </w:pPr>
            <w:r w:rsidRPr="00250E94">
              <w:rPr>
                <w:rFonts w:eastAsiaTheme="minorHAnsi"/>
                <w:b/>
                <w:sz w:val="20"/>
                <w:szCs w:val="20"/>
                <w:lang w:val="en-US"/>
              </w:rPr>
              <w:t>Probably +</w:t>
            </w:r>
          </w:p>
        </w:tc>
      </w:tr>
      <w:tr w:rsidR="00E73BD8" w:rsidRPr="00250E94" w14:paraId="51586EE9" w14:textId="77777777" w:rsidTr="00B27F75">
        <w:trPr>
          <w:trHeight w:hRule="exact" w:val="451"/>
        </w:trPr>
        <w:tc>
          <w:tcPr>
            <w:tcW w:w="1633" w:type="dxa"/>
            <w:tcBorders>
              <w:top w:val="single" w:sz="4" w:space="0" w:color="000000"/>
              <w:left w:val="single" w:sz="4" w:space="0" w:color="auto"/>
              <w:bottom w:val="single" w:sz="4" w:space="0" w:color="000000"/>
              <w:right w:val="single" w:sz="4" w:space="0" w:color="auto"/>
            </w:tcBorders>
            <w:vAlign w:val="bottom"/>
          </w:tcPr>
          <w:p w14:paraId="5CB92B15" w14:textId="77777777" w:rsidR="00E73BD8" w:rsidRPr="00250E94" w:rsidRDefault="00E73BD8" w:rsidP="00B27F75">
            <w:pPr>
              <w:widowControl w:val="0"/>
              <w:spacing w:after="200" w:line="240" w:lineRule="auto"/>
              <w:rPr>
                <w:rFonts w:eastAsiaTheme="minorHAnsi"/>
                <w:sz w:val="20"/>
                <w:szCs w:val="20"/>
                <w:lang w:val="en-US"/>
              </w:rPr>
            </w:pPr>
            <w:r w:rsidRPr="00250E94">
              <w:rPr>
                <w:rFonts w:eastAsiaTheme="minorHAnsi"/>
                <w:sz w:val="20"/>
                <w:szCs w:val="20"/>
                <w:lang w:val="en-US"/>
              </w:rPr>
              <w:t>K0478, PMG107</w:t>
            </w:r>
          </w:p>
        </w:tc>
        <w:tc>
          <w:tcPr>
            <w:tcW w:w="2408" w:type="dxa"/>
            <w:tcBorders>
              <w:top w:val="single" w:sz="4" w:space="0" w:color="000000"/>
              <w:left w:val="single" w:sz="4" w:space="0" w:color="auto"/>
              <w:bottom w:val="single" w:sz="4" w:space="0" w:color="000000"/>
              <w:right w:val="single" w:sz="4" w:space="0" w:color="auto"/>
            </w:tcBorders>
            <w:vAlign w:val="bottom"/>
          </w:tcPr>
          <w:p w14:paraId="46B6B446" w14:textId="77777777" w:rsidR="00E73BD8" w:rsidRPr="00250E94" w:rsidRDefault="00E73BD8" w:rsidP="00B27F75">
            <w:pPr>
              <w:widowControl w:val="0"/>
              <w:spacing w:after="200" w:line="240" w:lineRule="auto"/>
              <w:rPr>
                <w:rFonts w:eastAsiaTheme="minorHAnsi"/>
                <w:sz w:val="20"/>
                <w:szCs w:val="20"/>
                <w:lang w:val="en-US"/>
              </w:rPr>
            </w:pPr>
            <w:r w:rsidRPr="00250E94">
              <w:rPr>
                <w:rFonts w:eastAsiaTheme="minorHAnsi"/>
                <w:sz w:val="20"/>
                <w:szCs w:val="20"/>
                <w:lang w:val="en-US"/>
              </w:rPr>
              <w:t>Southern Palestine</w:t>
            </w:r>
          </w:p>
        </w:tc>
        <w:tc>
          <w:tcPr>
            <w:tcW w:w="2524" w:type="dxa"/>
            <w:tcBorders>
              <w:top w:val="single" w:sz="4" w:space="0" w:color="000000"/>
              <w:left w:val="single" w:sz="4" w:space="0" w:color="auto"/>
              <w:bottom w:val="single" w:sz="4" w:space="0" w:color="000000"/>
              <w:right w:val="single" w:sz="4" w:space="0" w:color="auto"/>
            </w:tcBorders>
            <w:vAlign w:val="bottom"/>
          </w:tcPr>
          <w:p w14:paraId="6A2EADA1" w14:textId="77777777" w:rsidR="00E73BD8" w:rsidRPr="00250E94" w:rsidRDefault="00E73BD8" w:rsidP="00B27F75">
            <w:pPr>
              <w:widowControl w:val="0"/>
              <w:spacing w:after="200" w:line="240" w:lineRule="auto"/>
              <w:rPr>
                <w:rFonts w:eastAsiaTheme="minorHAnsi"/>
                <w:sz w:val="20"/>
                <w:szCs w:val="20"/>
                <w:lang w:val="en-US"/>
              </w:rPr>
            </w:pPr>
            <w:r w:rsidRPr="00250E94">
              <w:rPr>
                <w:rFonts w:eastAsiaTheme="minorHAnsi"/>
                <w:sz w:val="20"/>
                <w:szCs w:val="20"/>
                <w:lang w:val="en-US"/>
              </w:rPr>
              <w:t>Shephelah (Southern Palestine)</w:t>
            </w:r>
          </w:p>
        </w:tc>
        <w:tc>
          <w:tcPr>
            <w:tcW w:w="1256" w:type="dxa"/>
            <w:tcBorders>
              <w:top w:val="single" w:sz="4" w:space="0" w:color="000000"/>
              <w:left w:val="single" w:sz="4" w:space="0" w:color="auto"/>
              <w:bottom w:val="single" w:sz="4" w:space="0" w:color="000000"/>
              <w:right w:val="single" w:sz="4" w:space="0" w:color="auto"/>
            </w:tcBorders>
            <w:vAlign w:val="bottom"/>
          </w:tcPr>
          <w:p w14:paraId="1BC7EF47" w14:textId="77777777" w:rsidR="00E73BD8" w:rsidRPr="00250E94" w:rsidRDefault="00E73BD8" w:rsidP="00B27F75">
            <w:pPr>
              <w:widowControl w:val="0"/>
              <w:spacing w:after="200" w:line="240" w:lineRule="auto"/>
              <w:jc w:val="center"/>
              <w:rPr>
                <w:rFonts w:eastAsiaTheme="minorHAnsi"/>
                <w:sz w:val="20"/>
                <w:szCs w:val="20"/>
                <w:lang w:val="en-US"/>
              </w:rPr>
            </w:pPr>
            <w:r w:rsidRPr="00250E94">
              <w:rPr>
                <w:rFonts w:eastAsiaTheme="minorHAnsi"/>
                <w:sz w:val="20"/>
                <w:szCs w:val="20"/>
                <w:lang w:val="en-US"/>
              </w:rPr>
              <w:t>+</w:t>
            </w:r>
          </w:p>
        </w:tc>
        <w:tc>
          <w:tcPr>
            <w:tcW w:w="3690" w:type="dxa"/>
            <w:tcBorders>
              <w:top w:val="single" w:sz="4" w:space="0" w:color="000000"/>
              <w:left w:val="single" w:sz="4" w:space="0" w:color="auto"/>
              <w:bottom w:val="single" w:sz="4" w:space="0" w:color="000000"/>
              <w:right w:val="single" w:sz="4" w:space="0" w:color="auto"/>
            </w:tcBorders>
            <w:vAlign w:val="bottom"/>
          </w:tcPr>
          <w:p w14:paraId="60333EF3" w14:textId="77777777" w:rsidR="00E73BD8" w:rsidRPr="00250E94" w:rsidRDefault="00E73BD8" w:rsidP="00B27F75">
            <w:pPr>
              <w:widowControl w:val="0"/>
              <w:spacing w:after="200" w:line="240" w:lineRule="auto"/>
              <w:rPr>
                <w:rFonts w:eastAsiaTheme="minorHAnsi"/>
                <w:sz w:val="20"/>
                <w:szCs w:val="20"/>
                <w:lang w:val="en-US"/>
              </w:rPr>
            </w:pPr>
            <w:r w:rsidRPr="00250E94">
              <w:rPr>
                <w:rFonts w:eastAsiaTheme="minorHAnsi"/>
                <w:sz w:val="20"/>
                <w:szCs w:val="20"/>
                <w:lang w:val="en-US"/>
              </w:rPr>
              <w:t>Undetermined northern Levant</w:t>
            </w:r>
          </w:p>
        </w:tc>
        <w:tc>
          <w:tcPr>
            <w:tcW w:w="1530" w:type="dxa"/>
            <w:tcBorders>
              <w:top w:val="single" w:sz="4" w:space="0" w:color="000000"/>
              <w:left w:val="single" w:sz="4" w:space="0" w:color="auto"/>
              <w:bottom w:val="single" w:sz="4" w:space="0" w:color="000000"/>
              <w:right w:val="single" w:sz="4" w:space="0" w:color="auto"/>
            </w:tcBorders>
            <w:vAlign w:val="bottom"/>
          </w:tcPr>
          <w:p w14:paraId="2902C70C" w14:textId="77777777" w:rsidR="00E73BD8" w:rsidRPr="00250E94" w:rsidRDefault="00E73BD8" w:rsidP="00B27F75">
            <w:pPr>
              <w:widowControl w:val="0"/>
              <w:spacing w:after="200" w:line="240" w:lineRule="auto"/>
              <w:jc w:val="center"/>
              <w:rPr>
                <w:rFonts w:eastAsiaTheme="minorHAnsi"/>
                <w:sz w:val="20"/>
                <w:szCs w:val="20"/>
                <w:lang w:val="en-US"/>
              </w:rPr>
            </w:pPr>
            <w:r w:rsidRPr="00250E94">
              <w:rPr>
                <w:rFonts w:eastAsiaTheme="minorHAnsi"/>
                <w:sz w:val="20"/>
                <w:szCs w:val="20"/>
                <w:lang w:val="en-US"/>
              </w:rPr>
              <w:t>-</w:t>
            </w:r>
          </w:p>
        </w:tc>
        <w:tc>
          <w:tcPr>
            <w:tcW w:w="1440" w:type="dxa"/>
            <w:tcBorders>
              <w:top w:val="single" w:sz="4" w:space="0" w:color="000000"/>
              <w:left w:val="single" w:sz="4" w:space="0" w:color="auto"/>
              <w:bottom w:val="single" w:sz="4" w:space="0" w:color="000000"/>
              <w:right w:val="single" w:sz="4" w:space="0" w:color="auto"/>
            </w:tcBorders>
          </w:tcPr>
          <w:p w14:paraId="6A9AD7DF" w14:textId="77777777" w:rsidR="00E73BD8" w:rsidRPr="00250E94" w:rsidRDefault="00E73BD8" w:rsidP="00B27F75">
            <w:pPr>
              <w:widowControl w:val="0"/>
              <w:spacing w:after="200" w:line="240" w:lineRule="auto"/>
              <w:jc w:val="center"/>
              <w:rPr>
                <w:rFonts w:eastAsiaTheme="minorHAnsi"/>
                <w:b/>
                <w:sz w:val="20"/>
                <w:szCs w:val="20"/>
                <w:lang w:val="en-US"/>
              </w:rPr>
            </w:pPr>
            <w:r w:rsidRPr="00250E94">
              <w:rPr>
                <w:rFonts w:eastAsiaTheme="minorHAnsi"/>
                <w:b/>
                <w:sz w:val="20"/>
                <w:szCs w:val="20"/>
                <w:lang w:val="en-US"/>
              </w:rPr>
              <w:t>-</w:t>
            </w:r>
          </w:p>
        </w:tc>
      </w:tr>
      <w:tr w:rsidR="00E73BD8" w:rsidRPr="00250E94" w14:paraId="013F29A3" w14:textId="77777777" w:rsidTr="00B27F75">
        <w:trPr>
          <w:trHeight w:hRule="exact" w:val="541"/>
        </w:trPr>
        <w:tc>
          <w:tcPr>
            <w:tcW w:w="1633" w:type="dxa"/>
            <w:tcBorders>
              <w:top w:val="single" w:sz="4" w:space="0" w:color="000000"/>
              <w:left w:val="single" w:sz="4" w:space="0" w:color="auto"/>
              <w:bottom w:val="single" w:sz="4" w:space="0" w:color="000000"/>
              <w:right w:val="single" w:sz="4" w:space="0" w:color="auto"/>
            </w:tcBorders>
          </w:tcPr>
          <w:p w14:paraId="48A3C5DF" w14:textId="77777777" w:rsidR="00E73BD8" w:rsidRPr="00250E94" w:rsidRDefault="00E73BD8" w:rsidP="00B27F75">
            <w:pPr>
              <w:widowControl w:val="0"/>
              <w:spacing w:after="200" w:line="240" w:lineRule="auto"/>
              <w:rPr>
                <w:rFonts w:eastAsiaTheme="minorHAnsi"/>
                <w:sz w:val="20"/>
                <w:szCs w:val="20"/>
                <w:lang w:val="en-US"/>
              </w:rPr>
            </w:pPr>
            <w:r w:rsidRPr="00250E94">
              <w:rPr>
                <w:rFonts w:eastAsiaTheme="minorHAnsi"/>
                <w:sz w:val="20"/>
                <w:szCs w:val="20"/>
                <w:lang w:val="en-US"/>
              </w:rPr>
              <w:t>K2567, PMG111</w:t>
            </w:r>
          </w:p>
        </w:tc>
        <w:tc>
          <w:tcPr>
            <w:tcW w:w="2408" w:type="dxa"/>
            <w:tcBorders>
              <w:top w:val="single" w:sz="4" w:space="0" w:color="000000"/>
              <w:left w:val="single" w:sz="4" w:space="0" w:color="auto"/>
              <w:bottom w:val="single" w:sz="4" w:space="0" w:color="000000"/>
              <w:right w:val="single" w:sz="4" w:space="0" w:color="auto"/>
            </w:tcBorders>
          </w:tcPr>
          <w:p w14:paraId="4DEAE510" w14:textId="77777777" w:rsidR="00E73BD8" w:rsidRPr="00250E94" w:rsidRDefault="00E73BD8" w:rsidP="00B27F75">
            <w:pPr>
              <w:widowControl w:val="0"/>
              <w:spacing w:after="200" w:line="240" w:lineRule="auto"/>
              <w:rPr>
                <w:rFonts w:eastAsiaTheme="minorHAnsi"/>
                <w:sz w:val="20"/>
                <w:szCs w:val="20"/>
                <w:lang w:val="en-US"/>
              </w:rPr>
            </w:pPr>
            <w:r w:rsidRPr="00250E94">
              <w:rPr>
                <w:rFonts w:eastAsiaTheme="minorHAnsi"/>
                <w:sz w:val="20"/>
                <w:szCs w:val="20"/>
                <w:lang w:val="en-US"/>
              </w:rPr>
              <w:t>Southern Palestine</w:t>
            </w:r>
          </w:p>
        </w:tc>
        <w:tc>
          <w:tcPr>
            <w:tcW w:w="2524" w:type="dxa"/>
            <w:tcBorders>
              <w:top w:val="single" w:sz="4" w:space="0" w:color="000000"/>
              <w:left w:val="single" w:sz="4" w:space="0" w:color="auto"/>
              <w:bottom w:val="single" w:sz="4" w:space="0" w:color="000000"/>
              <w:right w:val="single" w:sz="4" w:space="0" w:color="auto"/>
            </w:tcBorders>
          </w:tcPr>
          <w:p w14:paraId="4762639D" w14:textId="77777777" w:rsidR="00E73BD8" w:rsidRPr="00250E94" w:rsidRDefault="00E73BD8" w:rsidP="00B27F75">
            <w:pPr>
              <w:widowControl w:val="0"/>
              <w:spacing w:after="200" w:line="240" w:lineRule="auto"/>
              <w:rPr>
                <w:rFonts w:eastAsiaTheme="minorHAnsi"/>
                <w:sz w:val="20"/>
                <w:szCs w:val="20"/>
                <w:lang w:val="en-US"/>
              </w:rPr>
            </w:pPr>
            <w:r w:rsidRPr="00250E94">
              <w:rPr>
                <w:rFonts w:eastAsiaTheme="minorHAnsi"/>
                <w:sz w:val="20"/>
                <w:szCs w:val="20"/>
                <w:lang w:val="en-US"/>
              </w:rPr>
              <w:t>Shephelah (Southern Palestine)</w:t>
            </w:r>
          </w:p>
        </w:tc>
        <w:tc>
          <w:tcPr>
            <w:tcW w:w="1256" w:type="dxa"/>
            <w:tcBorders>
              <w:top w:val="single" w:sz="4" w:space="0" w:color="000000"/>
              <w:left w:val="single" w:sz="4" w:space="0" w:color="auto"/>
              <w:bottom w:val="single" w:sz="4" w:space="0" w:color="000000"/>
              <w:right w:val="single" w:sz="4" w:space="0" w:color="auto"/>
            </w:tcBorders>
          </w:tcPr>
          <w:p w14:paraId="24945ED8" w14:textId="77777777" w:rsidR="00E73BD8" w:rsidRPr="00250E94" w:rsidRDefault="00E73BD8" w:rsidP="00B27F75">
            <w:pPr>
              <w:widowControl w:val="0"/>
              <w:spacing w:after="200" w:line="240" w:lineRule="auto"/>
              <w:jc w:val="center"/>
              <w:rPr>
                <w:rFonts w:eastAsiaTheme="minorHAnsi"/>
                <w:sz w:val="20"/>
                <w:szCs w:val="20"/>
                <w:lang w:val="en-US"/>
              </w:rPr>
            </w:pPr>
            <w:r w:rsidRPr="00250E94">
              <w:rPr>
                <w:rFonts w:eastAsiaTheme="minorHAnsi"/>
                <w:sz w:val="20"/>
                <w:szCs w:val="20"/>
                <w:lang w:val="en-US"/>
              </w:rPr>
              <w:t>+</w:t>
            </w:r>
          </w:p>
        </w:tc>
        <w:tc>
          <w:tcPr>
            <w:tcW w:w="3690" w:type="dxa"/>
            <w:tcBorders>
              <w:top w:val="single" w:sz="4" w:space="0" w:color="000000"/>
              <w:left w:val="single" w:sz="4" w:space="0" w:color="auto"/>
              <w:bottom w:val="single" w:sz="4" w:space="0" w:color="000000"/>
              <w:right w:val="single" w:sz="4" w:space="0" w:color="auto"/>
            </w:tcBorders>
          </w:tcPr>
          <w:p w14:paraId="6B075204" w14:textId="77777777" w:rsidR="00E73BD8" w:rsidRPr="00250E94" w:rsidRDefault="00E73BD8" w:rsidP="00B27F75">
            <w:pPr>
              <w:widowControl w:val="0"/>
              <w:spacing w:after="200" w:line="240" w:lineRule="auto"/>
              <w:rPr>
                <w:rFonts w:eastAsiaTheme="minorHAnsi"/>
                <w:sz w:val="20"/>
                <w:szCs w:val="20"/>
                <w:lang w:val="en-US"/>
              </w:rPr>
            </w:pPr>
            <w:r w:rsidRPr="00250E94">
              <w:rPr>
                <w:rFonts w:eastAsiaTheme="minorHAnsi"/>
                <w:sz w:val="20"/>
                <w:szCs w:val="20"/>
                <w:lang w:val="en-US"/>
              </w:rPr>
              <w:t>Central coast of Israel</w:t>
            </w:r>
          </w:p>
        </w:tc>
        <w:tc>
          <w:tcPr>
            <w:tcW w:w="1530" w:type="dxa"/>
            <w:tcBorders>
              <w:top w:val="single" w:sz="4" w:space="0" w:color="000000"/>
              <w:left w:val="single" w:sz="4" w:space="0" w:color="auto"/>
              <w:bottom w:val="single" w:sz="4" w:space="0" w:color="000000"/>
              <w:right w:val="single" w:sz="4" w:space="0" w:color="auto"/>
            </w:tcBorders>
          </w:tcPr>
          <w:p w14:paraId="12E26395" w14:textId="77777777" w:rsidR="00E73BD8" w:rsidRPr="00250E94" w:rsidRDefault="00E73BD8" w:rsidP="00B27F75">
            <w:pPr>
              <w:widowControl w:val="0"/>
              <w:spacing w:after="200" w:line="240" w:lineRule="auto"/>
              <w:jc w:val="center"/>
              <w:rPr>
                <w:rFonts w:eastAsiaTheme="minorHAnsi"/>
                <w:sz w:val="20"/>
                <w:szCs w:val="20"/>
                <w:lang w:val="en-US"/>
              </w:rPr>
            </w:pPr>
            <w:r w:rsidRPr="00250E94">
              <w:rPr>
                <w:rFonts w:eastAsiaTheme="minorHAnsi"/>
                <w:sz w:val="20"/>
                <w:szCs w:val="20"/>
                <w:lang w:val="en-US"/>
              </w:rPr>
              <w:t>? (should be -)</w:t>
            </w:r>
          </w:p>
        </w:tc>
        <w:tc>
          <w:tcPr>
            <w:tcW w:w="1440" w:type="dxa"/>
            <w:tcBorders>
              <w:top w:val="single" w:sz="4" w:space="0" w:color="000000"/>
              <w:left w:val="single" w:sz="4" w:space="0" w:color="auto"/>
              <w:bottom w:val="single" w:sz="4" w:space="0" w:color="000000"/>
              <w:right w:val="single" w:sz="4" w:space="0" w:color="auto"/>
            </w:tcBorders>
          </w:tcPr>
          <w:p w14:paraId="121315FC" w14:textId="77777777" w:rsidR="00E73BD8" w:rsidRPr="00250E94" w:rsidRDefault="00E73BD8" w:rsidP="00B27F75">
            <w:pPr>
              <w:widowControl w:val="0"/>
              <w:spacing w:after="200" w:line="240" w:lineRule="auto"/>
              <w:jc w:val="center"/>
              <w:rPr>
                <w:rFonts w:eastAsiaTheme="minorHAnsi"/>
                <w:b/>
                <w:sz w:val="20"/>
                <w:szCs w:val="20"/>
                <w:lang w:val="en-US"/>
              </w:rPr>
            </w:pPr>
            <w:r w:rsidRPr="00250E94">
              <w:rPr>
                <w:rFonts w:eastAsiaTheme="minorHAnsi"/>
                <w:b/>
                <w:sz w:val="20"/>
                <w:szCs w:val="20"/>
                <w:lang w:val="en-US"/>
              </w:rPr>
              <w:t>-</w:t>
            </w:r>
          </w:p>
        </w:tc>
      </w:tr>
      <w:tr w:rsidR="00E73BD8" w:rsidRPr="00250E94" w14:paraId="19EAB754" w14:textId="77777777" w:rsidTr="00B27F75">
        <w:trPr>
          <w:trHeight w:hRule="exact" w:val="757"/>
        </w:trPr>
        <w:tc>
          <w:tcPr>
            <w:tcW w:w="1633" w:type="dxa"/>
            <w:tcBorders>
              <w:top w:val="single" w:sz="4" w:space="0" w:color="000000"/>
              <w:left w:val="single" w:sz="4" w:space="0" w:color="auto"/>
              <w:bottom w:val="single" w:sz="4" w:space="0" w:color="000000"/>
              <w:right w:val="single" w:sz="4" w:space="0" w:color="auto"/>
            </w:tcBorders>
          </w:tcPr>
          <w:p w14:paraId="6F2CF175" w14:textId="77777777" w:rsidR="00E73BD8" w:rsidRPr="00250E94" w:rsidRDefault="00E73BD8" w:rsidP="00B27F75">
            <w:pPr>
              <w:widowControl w:val="0"/>
              <w:spacing w:after="200" w:line="240" w:lineRule="auto"/>
              <w:rPr>
                <w:rFonts w:eastAsiaTheme="minorHAnsi"/>
                <w:sz w:val="20"/>
                <w:szCs w:val="20"/>
                <w:lang w:val="en-US"/>
              </w:rPr>
            </w:pPr>
            <w:r w:rsidRPr="00250E94">
              <w:rPr>
                <w:rFonts w:eastAsiaTheme="minorHAnsi"/>
                <w:sz w:val="20"/>
                <w:szCs w:val="20"/>
                <w:lang w:val="en-US"/>
              </w:rPr>
              <w:t>K2574, PMG114</w:t>
            </w:r>
          </w:p>
        </w:tc>
        <w:tc>
          <w:tcPr>
            <w:tcW w:w="2408" w:type="dxa"/>
            <w:tcBorders>
              <w:top w:val="single" w:sz="4" w:space="0" w:color="000000"/>
              <w:left w:val="single" w:sz="4" w:space="0" w:color="auto"/>
              <w:bottom w:val="single" w:sz="4" w:space="0" w:color="000000"/>
              <w:right w:val="single" w:sz="4" w:space="0" w:color="auto"/>
            </w:tcBorders>
          </w:tcPr>
          <w:p w14:paraId="2A380BE5" w14:textId="77777777" w:rsidR="00E73BD8" w:rsidRPr="00250E94" w:rsidRDefault="00E73BD8" w:rsidP="00B27F75">
            <w:pPr>
              <w:widowControl w:val="0"/>
              <w:spacing w:after="200" w:line="240" w:lineRule="auto"/>
              <w:rPr>
                <w:rFonts w:eastAsiaTheme="minorHAnsi"/>
                <w:sz w:val="20"/>
                <w:szCs w:val="20"/>
                <w:lang w:val="en-US"/>
              </w:rPr>
            </w:pPr>
            <w:r w:rsidRPr="00250E94">
              <w:rPr>
                <w:rFonts w:eastAsiaTheme="minorHAnsi"/>
                <w:sz w:val="20"/>
                <w:szCs w:val="20"/>
                <w:lang w:val="en-US"/>
              </w:rPr>
              <w:t>Most similar to Tell el Dab'a JH859, which is most similar to Tell el- Hesi DBP A44, of local origin</w:t>
            </w:r>
          </w:p>
          <w:p w14:paraId="432D0EE8" w14:textId="77777777" w:rsidR="00E73BD8" w:rsidRPr="00250E94" w:rsidRDefault="00E73BD8" w:rsidP="00B27F75">
            <w:pPr>
              <w:widowControl w:val="0"/>
              <w:spacing w:after="200" w:line="240" w:lineRule="auto"/>
              <w:rPr>
                <w:rFonts w:eastAsiaTheme="minorHAnsi"/>
                <w:sz w:val="20"/>
                <w:szCs w:val="20"/>
                <w:lang w:val="en-US"/>
              </w:rPr>
            </w:pPr>
            <w:r w:rsidRPr="00250E94">
              <w:rPr>
                <w:rFonts w:eastAsiaTheme="minorHAnsi"/>
                <w:sz w:val="20"/>
                <w:szCs w:val="20"/>
                <w:lang w:val="en-US"/>
              </w:rPr>
              <w:t>1</w:t>
            </w:r>
          </w:p>
        </w:tc>
        <w:tc>
          <w:tcPr>
            <w:tcW w:w="2524" w:type="dxa"/>
            <w:tcBorders>
              <w:top w:val="single" w:sz="4" w:space="0" w:color="000000"/>
              <w:left w:val="single" w:sz="4" w:space="0" w:color="auto"/>
              <w:bottom w:val="single" w:sz="4" w:space="0" w:color="000000"/>
              <w:right w:val="single" w:sz="4" w:space="0" w:color="auto"/>
            </w:tcBorders>
          </w:tcPr>
          <w:p w14:paraId="32A1B565" w14:textId="77777777" w:rsidR="00E73BD8" w:rsidRPr="00250E94" w:rsidRDefault="00E73BD8" w:rsidP="00B27F75">
            <w:pPr>
              <w:widowControl w:val="0"/>
              <w:spacing w:after="200" w:line="240" w:lineRule="auto"/>
              <w:rPr>
                <w:rFonts w:eastAsiaTheme="minorHAnsi"/>
                <w:sz w:val="20"/>
                <w:szCs w:val="20"/>
                <w:lang w:val="en-US"/>
              </w:rPr>
            </w:pPr>
            <w:r w:rsidRPr="00250E94">
              <w:rPr>
                <w:rFonts w:eastAsiaTheme="minorHAnsi"/>
                <w:sz w:val="20"/>
                <w:szCs w:val="20"/>
                <w:lang w:val="en-US"/>
              </w:rPr>
              <w:t>Shephelah (Southern Palestine)</w:t>
            </w:r>
          </w:p>
        </w:tc>
        <w:tc>
          <w:tcPr>
            <w:tcW w:w="1256" w:type="dxa"/>
            <w:tcBorders>
              <w:top w:val="single" w:sz="4" w:space="0" w:color="000000"/>
              <w:left w:val="single" w:sz="4" w:space="0" w:color="auto"/>
              <w:bottom w:val="single" w:sz="4" w:space="0" w:color="000000"/>
              <w:right w:val="single" w:sz="4" w:space="0" w:color="auto"/>
            </w:tcBorders>
          </w:tcPr>
          <w:p w14:paraId="00B8B8BD" w14:textId="77777777" w:rsidR="00E73BD8" w:rsidRPr="00250E94" w:rsidRDefault="00E73BD8" w:rsidP="00B27F75">
            <w:pPr>
              <w:widowControl w:val="0"/>
              <w:spacing w:after="200" w:line="240" w:lineRule="auto"/>
              <w:jc w:val="center"/>
              <w:rPr>
                <w:rFonts w:eastAsiaTheme="minorHAnsi"/>
                <w:sz w:val="20"/>
                <w:szCs w:val="20"/>
                <w:lang w:val="en-US"/>
              </w:rPr>
            </w:pPr>
            <w:r w:rsidRPr="00250E94">
              <w:rPr>
                <w:rFonts w:eastAsiaTheme="minorHAnsi"/>
                <w:sz w:val="20"/>
                <w:szCs w:val="20"/>
                <w:lang w:val="en-US"/>
              </w:rPr>
              <w:t>+</w:t>
            </w:r>
          </w:p>
        </w:tc>
        <w:tc>
          <w:tcPr>
            <w:tcW w:w="3690" w:type="dxa"/>
            <w:tcBorders>
              <w:top w:val="single" w:sz="4" w:space="0" w:color="000000"/>
              <w:left w:val="single" w:sz="4" w:space="0" w:color="auto"/>
              <w:bottom w:val="single" w:sz="4" w:space="0" w:color="000000"/>
              <w:right w:val="single" w:sz="4" w:space="0" w:color="auto"/>
            </w:tcBorders>
          </w:tcPr>
          <w:p w14:paraId="4993E45B" w14:textId="77777777" w:rsidR="00E73BD8" w:rsidRPr="00250E94" w:rsidRDefault="00E73BD8" w:rsidP="00B27F75">
            <w:pPr>
              <w:widowControl w:val="0"/>
              <w:spacing w:after="200" w:line="240" w:lineRule="auto"/>
              <w:rPr>
                <w:rFonts w:eastAsiaTheme="minorHAnsi"/>
                <w:sz w:val="20"/>
                <w:szCs w:val="20"/>
                <w:lang w:val="en-US"/>
              </w:rPr>
            </w:pPr>
            <w:r w:rsidRPr="00250E94">
              <w:rPr>
                <w:rFonts w:eastAsiaTheme="minorHAnsi"/>
                <w:sz w:val="20"/>
                <w:szCs w:val="20"/>
                <w:lang w:val="en-US"/>
              </w:rPr>
              <w:t>Northernmost Israeli coast or the Lebanese coast</w:t>
            </w:r>
          </w:p>
        </w:tc>
        <w:tc>
          <w:tcPr>
            <w:tcW w:w="1530" w:type="dxa"/>
            <w:tcBorders>
              <w:top w:val="single" w:sz="4" w:space="0" w:color="000000"/>
              <w:left w:val="single" w:sz="4" w:space="0" w:color="auto"/>
              <w:bottom w:val="single" w:sz="4" w:space="0" w:color="000000"/>
              <w:right w:val="single" w:sz="4" w:space="0" w:color="auto"/>
            </w:tcBorders>
          </w:tcPr>
          <w:p w14:paraId="49AC4BA7" w14:textId="77777777" w:rsidR="00E73BD8" w:rsidRPr="00250E94" w:rsidRDefault="00E73BD8" w:rsidP="00B27F75">
            <w:pPr>
              <w:widowControl w:val="0"/>
              <w:spacing w:after="200" w:line="240" w:lineRule="auto"/>
              <w:jc w:val="center"/>
              <w:rPr>
                <w:rFonts w:eastAsiaTheme="minorHAnsi"/>
                <w:sz w:val="20"/>
                <w:szCs w:val="20"/>
                <w:lang w:val="en-US"/>
              </w:rPr>
            </w:pPr>
            <w:r w:rsidRPr="00250E94">
              <w:rPr>
                <w:rFonts w:eastAsiaTheme="minorHAnsi"/>
                <w:sz w:val="20"/>
                <w:szCs w:val="20"/>
                <w:lang w:val="en-US"/>
              </w:rPr>
              <w:t>N.D. (should be -)</w:t>
            </w:r>
          </w:p>
        </w:tc>
        <w:tc>
          <w:tcPr>
            <w:tcW w:w="1440" w:type="dxa"/>
            <w:tcBorders>
              <w:top w:val="single" w:sz="4" w:space="0" w:color="000000"/>
              <w:left w:val="single" w:sz="4" w:space="0" w:color="auto"/>
              <w:bottom w:val="single" w:sz="4" w:space="0" w:color="000000"/>
              <w:right w:val="single" w:sz="4" w:space="0" w:color="auto"/>
            </w:tcBorders>
          </w:tcPr>
          <w:p w14:paraId="71DF2DBE" w14:textId="77777777" w:rsidR="00E73BD8" w:rsidRPr="00250E94" w:rsidRDefault="00E73BD8" w:rsidP="00B27F75">
            <w:pPr>
              <w:widowControl w:val="0"/>
              <w:spacing w:after="200" w:line="240" w:lineRule="auto"/>
              <w:jc w:val="center"/>
              <w:rPr>
                <w:rFonts w:eastAsiaTheme="minorHAnsi"/>
                <w:b/>
                <w:sz w:val="20"/>
                <w:szCs w:val="20"/>
                <w:lang w:val="en-US"/>
              </w:rPr>
            </w:pPr>
            <w:r w:rsidRPr="00250E94">
              <w:rPr>
                <w:rFonts w:eastAsiaTheme="minorHAnsi"/>
                <w:b/>
                <w:sz w:val="20"/>
                <w:szCs w:val="20"/>
                <w:lang w:val="en-US"/>
              </w:rPr>
              <w:t>-</w:t>
            </w:r>
          </w:p>
        </w:tc>
      </w:tr>
      <w:tr w:rsidR="00E73BD8" w:rsidRPr="00250E94" w14:paraId="4DFDA97B" w14:textId="77777777" w:rsidTr="00B27F75">
        <w:trPr>
          <w:trHeight w:hRule="exact" w:val="487"/>
        </w:trPr>
        <w:tc>
          <w:tcPr>
            <w:tcW w:w="1633" w:type="dxa"/>
            <w:tcBorders>
              <w:top w:val="single" w:sz="4" w:space="0" w:color="000000"/>
              <w:left w:val="single" w:sz="4" w:space="0" w:color="auto"/>
              <w:bottom w:val="single" w:sz="4" w:space="0" w:color="000000"/>
              <w:right w:val="single" w:sz="4" w:space="0" w:color="auto"/>
            </w:tcBorders>
            <w:vAlign w:val="bottom"/>
          </w:tcPr>
          <w:p w14:paraId="5C87DB2B" w14:textId="77777777" w:rsidR="00E73BD8" w:rsidRPr="00250E94" w:rsidRDefault="00E73BD8" w:rsidP="00B27F75">
            <w:pPr>
              <w:widowControl w:val="0"/>
              <w:spacing w:after="200" w:line="240" w:lineRule="auto"/>
              <w:rPr>
                <w:rFonts w:eastAsiaTheme="minorHAnsi"/>
                <w:sz w:val="20"/>
                <w:szCs w:val="20"/>
                <w:lang w:val="en-US"/>
              </w:rPr>
            </w:pPr>
            <w:r w:rsidRPr="00250E94">
              <w:rPr>
                <w:rFonts w:eastAsiaTheme="minorHAnsi"/>
                <w:sz w:val="20"/>
                <w:szCs w:val="20"/>
                <w:lang w:val="en-US"/>
              </w:rPr>
              <w:t>K2574, PMG115</w:t>
            </w:r>
          </w:p>
        </w:tc>
        <w:tc>
          <w:tcPr>
            <w:tcW w:w="2408" w:type="dxa"/>
            <w:tcBorders>
              <w:top w:val="single" w:sz="4" w:space="0" w:color="000000"/>
              <w:left w:val="single" w:sz="4" w:space="0" w:color="auto"/>
              <w:bottom w:val="single" w:sz="4" w:space="0" w:color="000000"/>
              <w:right w:val="single" w:sz="4" w:space="0" w:color="auto"/>
            </w:tcBorders>
            <w:vAlign w:val="bottom"/>
          </w:tcPr>
          <w:p w14:paraId="62EFEFAA" w14:textId="77777777" w:rsidR="00E73BD8" w:rsidRPr="00250E94" w:rsidRDefault="00E73BD8" w:rsidP="00B27F75">
            <w:pPr>
              <w:widowControl w:val="0"/>
              <w:spacing w:after="200" w:line="240" w:lineRule="auto"/>
              <w:rPr>
                <w:rFonts w:eastAsiaTheme="minorHAnsi"/>
                <w:sz w:val="20"/>
                <w:szCs w:val="20"/>
                <w:lang w:val="en-US"/>
              </w:rPr>
            </w:pPr>
            <w:r w:rsidRPr="00250E94">
              <w:rPr>
                <w:rFonts w:eastAsiaTheme="minorHAnsi"/>
                <w:sz w:val="20"/>
                <w:szCs w:val="20"/>
                <w:lang w:val="en-US"/>
              </w:rPr>
              <w:t>?</w:t>
            </w:r>
          </w:p>
        </w:tc>
        <w:tc>
          <w:tcPr>
            <w:tcW w:w="2524" w:type="dxa"/>
            <w:tcBorders>
              <w:top w:val="single" w:sz="4" w:space="0" w:color="000000"/>
              <w:left w:val="single" w:sz="4" w:space="0" w:color="auto"/>
              <w:bottom w:val="single" w:sz="4" w:space="0" w:color="000000"/>
              <w:right w:val="single" w:sz="4" w:space="0" w:color="auto"/>
            </w:tcBorders>
            <w:vAlign w:val="bottom"/>
          </w:tcPr>
          <w:p w14:paraId="29CA2DF1" w14:textId="77777777" w:rsidR="00E73BD8" w:rsidRPr="00250E94" w:rsidRDefault="00E73BD8" w:rsidP="00B27F75">
            <w:pPr>
              <w:widowControl w:val="0"/>
              <w:spacing w:after="200" w:line="240" w:lineRule="auto"/>
              <w:rPr>
                <w:rFonts w:eastAsiaTheme="minorHAnsi"/>
                <w:sz w:val="20"/>
                <w:szCs w:val="20"/>
                <w:lang w:val="en-US"/>
              </w:rPr>
            </w:pPr>
            <w:r w:rsidRPr="00250E94">
              <w:rPr>
                <w:rFonts w:eastAsiaTheme="minorHAnsi"/>
                <w:sz w:val="20"/>
                <w:szCs w:val="20"/>
                <w:lang w:val="en-US"/>
              </w:rPr>
              <w:t>Shephelah (Southern Palestine)</w:t>
            </w:r>
          </w:p>
        </w:tc>
        <w:tc>
          <w:tcPr>
            <w:tcW w:w="1256" w:type="dxa"/>
            <w:tcBorders>
              <w:top w:val="single" w:sz="4" w:space="0" w:color="000000"/>
              <w:left w:val="single" w:sz="4" w:space="0" w:color="auto"/>
              <w:bottom w:val="single" w:sz="4" w:space="0" w:color="000000"/>
              <w:right w:val="single" w:sz="4" w:space="0" w:color="auto"/>
            </w:tcBorders>
            <w:vAlign w:val="bottom"/>
          </w:tcPr>
          <w:p w14:paraId="4C514094" w14:textId="77777777" w:rsidR="00E73BD8" w:rsidRPr="00250E94" w:rsidRDefault="00E73BD8" w:rsidP="00B27F75">
            <w:pPr>
              <w:widowControl w:val="0"/>
              <w:spacing w:after="200" w:line="240" w:lineRule="auto"/>
              <w:jc w:val="center"/>
              <w:rPr>
                <w:rFonts w:eastAsiaTheme="minorHAnsi"/>
                <w:sz w:val="20"/>
                <w:szCs w:val="20"/>
                <w:lang w:val="en-US"/>
              </w:rPr>
            </w:pPr>
            <w:r w:rsidRPr="00250E94">
              <w:rPr>
                <w:rFonts w:eastAsiaTheme="minorHAnsi"/>
                <w:sz w:val="20"/>
                <w:szCs w:val="20"/>
                <w:lang w:val="en-US"/>
              </w:rPr>
              <w:t>?</w:t>
            </w:r>
          </w:p>
        </w:tc>
        <w:tc>
          <w:tcPr>
            <w:tcW w:w="3690" w:type="dxa"/>
            <w:tcBorders>
              <w:top w:val="single" w:sz="4" w:space="0" w:color="000000"/>
              <w:left w:val="single" w:sz="4" w:space="0" w:color="auto"/>
              <w:bottom w:val="single" w:sz="4" w:space="0" w:color="000000"/>
              <w:right w:val="single" w:sz="4" w:space="0" w:color="auto"/>
            </w:tcBorders>
            <w:vAlign w:val="bottom"/>
          </w:tcPr>
          <w:p w14:paraId="64275949" w14:textId="77777777" w:rsidR="00E73BD8" w:rsidRPr="00250E94" w:rsidRDefault="00E73BD8" w:rsidP="00B27F75">
            <w:pPr>
              <w:widowControl w:val="0"/>
              <w:spacing w:after="200" w:line="240" w:lineRule="auto"/>
              <w:rPr>
                <w:rFonts w:eastAsiaTheme="minorHAnsi"/>
                <w:sz w:val="20"/>
                <w:szCs w:val="20"/>
                <w:lang w:val="en-US"/>
              </w:rPr>
            </w:pPr>
            <w:r w:rsidRPr="00250E94">
              <w:rPr>
                <w:rFonts w:eastAsiaTheme="minorHAnsi"/>
                <w:sz w:val="20"/>
                <w:szCs w:val="20"/>
                <w:lang w:val="en-US"/>
              </w:rPr>
              <w:t>Northernmost Israeli coast or the Lebanese coast</w:t>
            </w:r>
          </w:p>
        </w:tc>
        <w:tc>
          <w:tcPr>
            <w:tcW w:w="1530" w:type="dxa"/>
            <w:tcBorders>
              <w:top w:val="single" w:sz="4" w:space="0" w:color="000000"/>
              <w:left w:val="single" w:sz="4" w:space="0" w:color="auto"/>
              <w:bottom w:val="single" w:sz="4" w:space="0" w:color="000000"/>
              <w:right w:val="single" w:sz="4" w:space="0" w:color="auto"/>
            </w:tcBorders>
            <w:vAlign w:val="bottom"/>
          </w:tcPr>
          <w:p w14:paraId="54993875" w14:textId="77777777" w:rsidR="00E73BD8" w:rsidRPr="00250E94" w:rsidRDefault="00E73BD8" w:rsidP="00B27F75">
            <w:pPr>
              <w:widowControl w:val="0"/>
              <w:spacing w:after="200" w:line="240" w:lineRule="auto"/>
              <w:jc w:val="center"/>
              <w:rPr>
                <w:rFonts w:eastAsiaTheme="minorHAnsi"/>
                <w:sz w:val="20"/>
                <w:szCs w:val="20"/>
                <w:lang w:val="en-US"/>
              </w:rPr>
            </w:pPr>
            <w:r w:rsidRPr="00250E94">
              <w:rPr>
                <w:rFonts w:eastAsiaTheme="minorHAnsi"/>
                <w:sz w:val="20"/>
                <w:szCs w:val="20"/>
                <w:lang w:val="en-US"/>
              </w:rPr>
              <w:t>N.D. (should be -)</w:t>
            </w:r>
          </w:p>
        </w:tc>
        <w:tc>
          <w:tcPr>
            <w:tcW w:w="1440" w:type="dxa"/>
            <w:tcBorders>
              <w:top w:val="single" w:sz="4" w:space="0" w:color="000000"/>
              <w:left w:val="single" w:sz="4" w:space="0" w:color="auto"/>
              <w:bottom w:val="single" w:sz="4" w:space="0" w:color="000000"/>
              <w:right w:val="single" w:sz="4" w:space="0" w:color="auto"/>
            </w:tcBorders>
          </w:tcPr>
          <w:p w14:paraId="1517D2C6" w14:textId="77777777" w:rsidR="00E73BD8" w:rsidRPr="00250E94" w:rsidRDefault="00E73BD8" w:rsidP="00B27F75">
            <w:pPr>
              <w:widowControl w:val="0"/>
              <w:spacing w:after="200" w:line="240" w:lineRule="auto"/>
              <w:jc w:val="center"/>
              <w:rPr>
                <w:rFonts w:eastAsiaTheme="minorHAnsi"/>
                <w:b/>
                <w:sz w:val="20"/>
                <w:szCs w:val="20"/>
                <w:lang w:val="en-US"/>
              </w:rPr>
            </w:pPr>
            <w:r w:rsidRPr="00250E94">
              <w:rPr>
                <w:rFonts w:eastAsiaTheme="minorHAnsi"/>
                <w:b/>
                <w:sz w:val="20"/>
                <w:szCs w:val="20"/>
                <w:lang w:val="en-US"/>
              </w:rPr>
              <w:t>-</w:t>
            </w:r>
          </w:p>
        </w:tc>
      </w:tr>
      <w:tr w:rsidR="00E73BD8" w:rsidRPr="00250E94" w14:paraId="1A796CEE" w14:textId="77777777" w:rsidTr="00B27F75">
        <w:trPr>
          <w:trHeight w:hRule="exact" w:val="451"/>
        </w:trPr>
        <w:tc>
          <w:tcPr>
            <w:tcW w:w="1633" w:type="dxa"/>
            <w:tcBorders>
              <w:top w:val="single" w:sz="4" w:space="0" w:color="000000"/>
              <w:left w:val="single" w:sz="4" w:space="0" w:color="auto"/>
              <w:bottom w:val="single" w:sz="4" w:space="0" w:color="000000"/>
              <w:right w:val="single" w:sz="4" w:space="0" w:color="auto"/>
            </w:tcBorders>
            <w:vAlign w:val="bottom"/>
          </w:tcPr>
          <w:p w14:paraId="175BAC54" w14:textId="77777777" w:rsidR="00E73BD8" w:rsidRPr="00250E94" w:rsidRDefault="00E73BD8" w:rsidP="00B27F75">
            <w:pPr>
              <w:widowControl w:val="0"/>
              <w:spacing w:after="200" w:line="240" w:lineRule="auto"/>
              <w:rPr>
                <w:rFonts w:eastAsiaTheme="minorHAnsi"/>
                <w:sz w:val="20"/>
                <w:szCs w:val="20"/>
                <w:lang w:val="en-US"/>
              </w:rPr>
            </w:pPr>
            <w:r w:rsidRPr="00250E94">
              <w:rPr>
                <w:rFonts w:eastAsiaTheme="minorHAnsi"/>
                <w:sz w:val="20"/>
                <w:szCs w:val="20"/>
                <w:lang w:val="en-US"/>
              </w:rPr>
              <w:t>K2771, PMG106</w:t>
            </w:r>
          </w:p>
        </w:tc>
        <w:tc>
          <w:tcPr>
            <w:tcW w:w="2408" w:type="dxa"/>
            <w:tcBorders>
              <w:top w:val="single" w:sz="4" w:space="0" w:color="000000"/>
              <w:left w:val="single" w:sz="4" w:space="0" w:color="auto"/>
              <w:bottom w:val="single" w:sz="4" w:space="0" w:color="000000"/>
              <w:right w:val="single" w:sz="4" w:space="0" w:color="auto"/>
            </w:tcBorders>
            <w:vAlign w:val="bottom"/>
          </w:tcPr>
          <w:p w14:paraId="32EEC16C" w14:textId="77777777" w:rsidR="00E73BD8" w:rsidRPr="00250E94" w:rsidRDefault="00E73BD8" w:rsidP="00B27F75">
            <w:pPr>
              <w:widowControl w:val="0"/>
              <w:spacing w:after="200" w:line="240" w:lineRule="auto"/>
              <w:rPr>
                <w:rFonts w:eastAsiaTheme="minorHAnsi"/>
                <w:sz w:val="20"/>
                <w:szCs w:val="20"/>
                <w:lang w:val="en-US"/>
              </w:rPr>
            </w:pPr>
            <w:r w:rsidRPr="00250E94">
              <w:rPr>
                <w:rFonts w:eastAsiaTheme="minorHAnsi"/>
                <w:sz w:val="20"/>
                <w:szCs w:val="20"/>
                <w:lang w:val="en-US"/>
              </w:rPr>
              <w:t>? (possibly Southern Palestine)</w:t>
            </w:r>
          </w:p>
        </w:tc>
        <w:tc>
          <w:tcPr>
            <w:tcW w:w="2524" w:type="dxa"/>
            <w:tcBorders>
              <w:top w:val="single" w:sz="4" w:space="0" w:color="000000"/>
              <w:left w:val="single" w:sz="4" w:space="0" w:color="auto"/>
              <w:bottom w:val="single" w:sz="4" w:space="0" w:color="000000"/>
              <w:right w:val="single" w:sz="4" w:space="0" w:color="auto"/>
            </w:tcBorders>
            <w:vAlign w:val="bottom"/>
          </w:tcPr>
          <w:p w14:paraId="0C7F1AD6" w14:textId="77777777" w:rsidR="00E73BD8" w:rsidRPr="00250E94" w:rsidRDefault="00E73BD8" w:rsidP="00B27F75">
            <w:pPr>
              <w:widowControl w:val="0"/>
              <w:spacing w:after="200" w:line="240" w:lineRule="auto"/>
              <w:rPr>
                <w:rFonts w:eastAsiaTheme="minorHAnsi"/>
                <w:sz w:val="20"/>
                <w:szCs w:val="20"/>
                <w:lang w:val="en-US"/>
              </w:rPr>
            </w:pPr>
            <w:r w:rsidRPr="00250E94">
              <w:rPr>
                <w:rFonts w:eastAsiaTheme="minorHAnsi"/>
                <w:sz w:val="20"/>
                <w:szCs w:val="20"/>
                <w:lang w:val="en-US"/>
              </w:rPr>
              <w:t>Shephelah (Southern Palestine)</w:t>
            </w:r>
          </w:p>
        </w:tc>
        <w:tc>
          <w:tcPr>
            <w:tcW w:w="1256" w:type="dxa"/>
            <w:tcBorders>
              <w:top w:val="single" w:sz="4" w:space="0" w:color="000000"/>
              <w:left w:val="single" w:sz="4" w:space="0" w:color="auto"/>
              <w:bottom w:val="single" w:sz="4" w:space="0" w:color="000000"/>
              <w:right w:val="single" w:sz="4" w:space="0" w:color="auto"/>
            </w:tcBorders>
            <w:vAlign w:val="bottom"/>
          </w:tcPr>
          <w:p w14:paraId="03354BFA" w14:textId="77777777" w:rsidR="00E73BD8" w:rsidRPr="00250E94" w:rsidRDefault="00E73BD8" w:rsidP="00B27F75">
            <w:pPr>
              <w:widowControl w:val="0"/>
              <w:spacing w:after="200" w:line="240" w:lineRule="auto"/>
              <w:jc w:val="center"/>
              <w:rPr>
                <w:rFonts w:eastAsiaTheme="minorHAnsi"/>
                <w:sz w:val="20"/>
                <w:szCs w:val="20"/>
                <w:lang w:val="en-US"/>
              </w:rPr>
            </w:pPr>
            <w:r w:rsidRPr="00250E94">
              <w:rPr>
                <w:rFonts w:eastAsiaTheme="minorHAnsi"/>
                <w:sz w:val="20"/>
                <w:szCs w:val="20"/>
                <w:lang w:val="en-US"/>
              </w:rPr>
              <w:t>+</w:t>
            </w:r>
          </w:p>
        </w:tc>
        <w:tc>
          <w:tcPr>
            <w:tcW w:w="3690" w:type="dxa"/>
            <w:tcBorders>
              <w:top w:val="single" w:sz="4" w:space="0" w:color="000000"/>
              <w:left w:val="single" w:sz="4" w:space="0" w:color="auto"/>
              <w:bottom w:val="single" w:sz="4" w:space="0" w:color="000000"/>
              <w:right w:val="single" w:sz="4" w:space="0" w:color="auto"/>
            </w:tcBorders>
            <w:vAlign w:val="bottom"/>
          </w:tcPr>
          <w:p w14:paraId="2EB06D32" w14:textId="77777777" w:rsidR="00E73BD8" w:rsidRPr="00250E94" w:rsidRDefault="00E73BD8" w:rsidP="00B27F75">
            <w:pPr>
              <w:widowControl w:val="0"/>
              <w:spacing w:after="200" w:line="240" w:lineRule="auto"/>
              <w:rPr>
                <w:rFonts w:eastAsiaTheme="minorHAnsi"/>
                <w:sz w:val="20"/>
                <w:szCs w:val="20"/>
                <w:lang w:val="en-US"/>
              </w:rPr>
            </w:pPr>
            <w:r w:rsidRPr="00250E94">
              <w:rPr>
                <w:rFonts w:eastAsiaTheme="minorHAnsi"/>
                <w:sz w:val="20"/>
                <w:szCs w:val="20"/>
                <w:lang w:val="en-US"/>
              </w:rPr>
              <w:t>Lebanon east of the coast line Beirut-Byblos</w:t>
            </w:r>
          </w:p>
        </w:tc>
        <w:tc>
          <w:tcPr>
            <w:tcW w:w="1530" w:type="dxa"/>
            <w:tcBorders>
              <w:top w:val="single" w:sz="4" w:space="0" w:color="000000"/>
              <w:left w:val="single" w:sz="4" w:space="0" w:color="auto"/>
              <w:bottom w:val="single" w:sz="4" w:space="0" w:color="000000"/>
              <w:right w:val="single" w:sz="4" w:space="0" w:color="auto"/>
            </w:tcBorders>
            <w:vAlign w:val="bottom"/>
          </w:tcPr>
          <w:p w14:paraId="4159D38F" w14:textId="77777777" w:rsidR="00E73BD8" w:rsidRPr="00250E94" w:rsidRDefault="00E73BD8" w:rsidP="00B27F75">
            <w:pPr>
              <w:widowControl w:val="0"/>
              <w:spacing w:after="200" w:line="240" w:lineRule="auto"/>
              <w:jc w:val="center"/>
              <w:rPr>
                <w:rFonts w:eastAsiaTheme="minorHAnsi"/>
                <w:sz w:val="20"/>
                <w:szCs w:val="20"/>
                <w:lang w:val="en-US"/>
              </w:rPr>
            </w:pPr>
            <w:r w:rsidRPr="00250E94">
              <w:rPr>
                <w:rFonts w:eastAsiaTheme="minorHAnsi"/>
                <w:sz w:val="20"/>
                <w:szCs w:val="20"/>
                <w:lang w:val="en-US"/>
              </w:rPr>
              <w:t>-</w:t>
            </w:r>
          </w:p>
        </w:tc>
        <w:tc>
          <w:tcPr>
            <w:tcW w:w="1440" w:type="dxa"/>
            <w:tcBorders>
              <w:top w:val="single" w:sz="4" w:space="0" w:color="000000"/>
              <w:left w:val="single" w:sz="4" w:space="0" w:color="auto"/>
              <w:bottom w:val="single" w:sz="4" w:space="0" w:color="000000"/>
              <w:right w:val="single" w:sz="4" w:space="0" w:color="auto"/>
            </w:tcBorders>
          </w:tcPr>
          <w:p w14:paraId="2E15EEDD" w14:textId="77777777" w:rsidR="00E73BD8" w:rsidRPr="00250E94" w:rsidRDefault="00E73BD8" w:rsidP="00B27F75">
            <w:pPr>
              <w:widowControl w:val="0"/>
              <w:spacing w:after="200" w:line="240" w:lineRule="auto"/>
              <w:jc w:val="center"/>
              <w:rPr>
                <w:rFonts w:eastAsiaTheme="minorHAnsi"/>
                <w:b/>
                <w:sz w:val="20"/>
                <w:szCs w:val="20"/>
                <w:lang w:val="en-US"/>
              </w:rPr>
            </w:pPr>
            <w:r w:rsidRPr="00250E94">
              <w:rPr>
                <w:rFonts w:eastAsiaTheme="minorHAnsi"/>
                <w:b/>
                <w:sz w:val="20"/>
                <w:szCs w:val="20"/>
                <w:lang w:val="en-US"/>
              </w:rPr>
              <w:t>-</w:t>
            </w:r>
          </w:p>
        </w:tc>
      </w:tr>
      <w:tr w:rsidR="00E73BD8" w:rsidRPr="00250E94" w14:paraId="3017EB03" w14:textId="77777777" w:rsidTr="00B27F75">
        <w:trPr>
          <w:trHeight w:hRule="exact" w:val="451"/>
        </w:trPr>
        <w:tc>
          <w:tcPr>
            <w:tcW w:w="1633" w:type="dxa"/>
            <w:tcBorders>
              <w:top w:val="single" w:sz="4" w:space="0" w:color="000000"/>
              <w:left w:val="single" w:sz="4" w:space="0" w:color="auto"/>
              <w:bottom w:val="single" w:sz="4" w:space="0" w:color="000000"/>
              <w:right w:val="single" w:sz="4" w:space="0" w:color="auto"/>
            </w:tcBorders>
            <w:vAlign w:val="bottom"/>
          </w:tcPr>
          <w:p w14:paraId="3F54955E" w14:textId="77777777" w:rsidR="00E73BD8" w:rsidRPr="00250E94" w:rsidRDefault="00E73BD8" w:rsidP="00B27F75">
            <w:pPr>
              <w:widowControl w:val="0"/>
              <w:spacing w:after="200" w:line="240" w:lineRule="auto"/>
              <w:rPr>
                <w:rFonts w:eastAsiaTheme="minorHAnsi"/>
                <w:sz w:val="20"/>
                <w:szCs w:val="20"/>
                <w:lang w:val="en-US"/>
              </w:rPr>
            </w:pPr>
            <w:r w:rsidRPr="00250E94">
              <w:rPr>
                <w:rFonts w:eastAsiaTheme="minorHAnsi"/>
                <w:sz w:val="20"/>
                <w:szCs w:val="20"/>
                <w:lang w:val="en-US"/>
              </w:rPr>
              <w:t>K2810, JH108</w:t>
            </w:r>
          </w:p>
        </w:tc>
        <w:tc>
          <w:tcPr>
            <w:tcW w:w="2408" w:type="dxa"/>
            <w:tcBorders>
              <w:top w:val="single" w:sz="4" w:space="0" w:color="000000"/>
              <w:left w:val="single" w:sz="4" w:space="0" w:color="auto"/>
              <w:bottom w:val="single" w:sz="4" w:space="0" w:color="000000"/>
              <w:right w:val="single" w:sz="4" w:space="0" w:color="auto"/>
            </w:tcBorders>
            <w:vAlign w:val="bottom"/>
          </w:tcPr>
          <w:p w14:paraId="2AF305C0" w14:textId="77777777" w:rsidR="00E73BD8" w:rsidRPr="00250E94" w:rsidRDefault="00E73BD8" w:rsidP="00B27F75">
            <w:pPr>
              <w:widowControl w:val="0"/>
              <w:spacing w:after="200" w:line="240" w:lineRule="auto"/>
              <w:rPr>
                <w:rFonts w:eastAsiaTheme="minorHAnsi"/>
                <w:sz w:val="20"/>
                <w:szCs w:val="20"/>
                <w:lang w:val="en-US"/>
              </w:rPr>
            </w:pPr>
            <w:r w:rsidRPr="00250E94">
              <w:rPr>
                <w:rFonts w:eastAsiaTheme="minorHAnsi"/>
                <w:sz w:val="20"/>
                <w:szCs w:val="20"/>
                <w:lang w:val="en-US"/>
              </w:rPr>
              <w:t>Southern Palestine</w:t>
            </w:r>
          </w:p>
        </w:tc>
        <w:tc>
          <w:tcPr>
            <w:tcW w:w="2524" w:type="dxa"/>
            <w:tcBorders>
              <w:top w:val="single" w:sz="4" w:space="0" w:color="000000"/>
              <w:left w:val="single" w:sz="4" w:space="0" w:color="auto"/>
              <w:bottom w:val="single" w:sz="4" w:space="0" w:color="000000"/>
              <w:right w:val="single" w:sz="4" w:space="0" w:color="auto"/>
            </w:tcBorders>
            <w:vAlign w:val="bottom"/>
          </w:tcPr>
          <w:p w14:paraId="48305EFB" w14:textId="77777777" w:rsidR="00E73BD8" w:rsidRPr="00250E94" w:rsidRDefault="00E73BD8" w:rsidP="00B27F75">
            <w:pPr>
              <w:widowControl w:val="0"/>
              <w:spacing w:after="200" w:line="240" w:lineRule="auto"/>
              <w:rPr>
                <w:rFonts w:eastAsiaTheme="minorHAnsi"/>
                <w:sz w:val="20"/>
                <w:szCs w:val="20"/>
                <w:lang w:val="en-US"/>
              </w:rPr>
            </w:pPr>
            <w:r w:rsidRPr="00250E94">
              <w:rPr>
                <w:rFonts w:eastAsiaTheme="minorHAnsi"/>
                <w:sz w:val="20"/>
                <w:szCs w:val="20"/>
                <w:lang w:val="en-US"/>
              </w:rPr>
              <w:t>Shephelah (Southern Palestine)</w:t>
            </w:r>
          </w:p>
        </w:tc>
        <w:tc>
          <w:tcPr>
            <w:tcW w:w="1256" w:type="dxa"/>
            <w:tcBorders>
              <w:top w:val="single" w:sz="4" w:space="0" w:color="000000"/>
              <w:left w:val="single" w:sz="4" w:space="0" w:color="auto"/>
              <w:bottom w:val="single" w:sz="4" w:space="0" w:color="000000"/>
              <w:right w:val="single" w:sz="4" w:space="0" w:color="auto"/>
            </w:tcBorders>
            <w:vAlign w:val="bottom"/>
          </w:tcPr>
          <w:p w14:paraId="02B8A0EC" w14:textId="77777777" w:rsidR="00E73BD8" w:rsidRPr="00250E94" w:rsidRDefault="00E73BD8" w:rsidP="00B27F75">
            <w:pPr>
              <w:widowControl w:val="0"/>
              <w:spacing w:after="200" w:line="240" w:lineRule="auto"/>
              <w:jc w:val="center"/>
              <w:rPr>
                <w:rFonts w:eastAsiaTheme="minorHAnsi"/>
                <w:sz w:val="20"/>
                <w:szCs w:val="20"/>
                <w:lang w:val="en-US"/>
              </w:rPr>
            </w:pPr>
            <w:r w:rsidRPr="00250E94">
              <w:rPr>
                <w:rFonts w:eastAsiaTheme="minorHAnsi"/>
                <w:sz w:val="20"/>
                <w:szCs w:val="20"/>
                <w:lang w:val="en-US"/>
              </w:rPr>
              <w:t>+</w:t>
            </w:r>
          </w:p>
        </w:tc>
        <w:tc>
          <w:tcPr>
            <w:tcW w:w="3690" w:type="dxa"/>
            <w:tcBorders>
              <w:top w:val="single" w:sz="4" w:space="0" w:color="000000"/>
              <w:left w:val="single" w:sz="4" w:space="0" w:color="auto"/>
              <w:bottom w:val="single" w:sz="4" w:space="0" w:color="000000"/>
              <w:right w:val="single" w:sz="4" w:space="0" w:color="auto"/>
            </w:tcBorders>
            <w:vAlign w:val="bottom"/>
          </w:tcPr>
          <w:p w14:paraId="00023A21" w14:textId="77777777" w:rsidR="00E73BD8" w:rsidRPr="00250E94" w:rsidRDefault="00E73BD8" w:rsidP="00B27F75">
            <w:pPr>
              <w:widowControl w:val="0"/>
              <w:spacing w:after="200" w:line="240" w:lineRule="auto"/>
              <w:rPr>
                <w:rFonts w:eastAsiaTheme="minorHAnsi"/>
                <w:sz w:val="20"/>
                <w:szCs w:val="20"/>
                <w:lang w:val="en-US"/>
              </w:rPr>
            </w:pPr>
            <w:r w:rsidRPr="00250E94">
              <w:rPr>
                <w:rFonts w:eastAsiaTheme="minorHAnsi"/>
                <w:sz w:val="20"/>
                <w:szCs w:val="20"/>
                <w:lang w:val="en-US"/>
              </w:rPr>
              <w:t>Northern Lebanese coast (north of Tripoli)</w:t>
            </w:r>
          </w:p>
        </w:tc>
        <w:tc>
          <w:tcPr>
            <w:tcW w:w="1530" w:type="dxa"/>
            <w:tcBorders>
              <w:top w:val="single" w:sz="4" w:space="0" w:color="000000"/>
              <w:left w:val="single" w:sz="4" w:space="0" w:color="auto"/>
              <w:bottom w:val="single" w:sz="4" w:space="0" w:color="000000"/>
              <w:right w:val="single" w:sz="4" w:space="0" w:color="auto"/>
            </w:tcBorders>
            <w:vAlign w:val="bottom"/>
          </w:tcPr>
          <w:p w14:paraId="707CC6E6" w14:textId="77777777" w:rsidR="00E73BD8" w:rsidRPr="00250E94" w:rsidRDefault="00E73BD8" w:rsidP="00B27F75">
            <w:pPr>
              <w:widowControl w:val="0"/>
              <w:spacing w:after="200" w:line="240" w:lineRule="auto"/>
              <w:jc w:val="center"/>
              <w:rPr>
                <w:rFonts w:eastAsiaTheme="minorHAnsi"/>
                <w:sz w:val="20"/>
                <w:szCs w:val="20"/>
                <w:lang w:val="en-US"/>
              </w:rPr>
            </w:pPr>
            <w:r w:rsidRPr="00250E94">
              <w:rPr>
                <w:rFonts w:eastAsiaTheme="minorHAnsi"/>
                <w:sz w:val="20"/>
                <w:szCs w:val="20"/>
                <w:lang w:val="en-US"/>
              </w:rPr>
              <w:t>-</w:t>
            </w:r>
          </w:p>
        </w:tc>
        <w:tc>
          <w:tcPr>
            <w:tcW w:w="1440" w:type="dxa"/>
            <w:tcBorders>
              <w:top w:val="single" w:sz="4" w:space="0" w:color="000000"/>
              <w:left w:val="single" w:sz="4" w:space="0" w:color="auto"/>
              <w:bottom w:val="single" w:sz="4" w:space="0" w:color="000000"/>
              <w:right w:val="single" w:sz="4" w:space="0" w:color="auto"/>
            </w:tcBorders>
          </w:tcPr>
          <w:p w14:paraId="7DE75E41" w14:textId="77777777" w:rsidR="00E73BD8" w:rsidRPr="00250E94" w:rsidRDefault="00E73BD8" w:rsidP="00B27F75">
            <w:pPr>
              <w:widowControl w:val="0"/>
              <w:spacing w:after="200" w:line="240" w:lineRule="auto"/>
              <w:jc w:val="center"/>
              <w:rPr>
                <w:rFonts w:eastAsiaTheme="minorHAnsi"/>
                <w:b/>
                <w:sz w:val="20"/>
                <w:szCs w:val="20"/>
                <w:lang w:val="en-US"/>
              </w:rPr>
            </w:pPr>
            <w:r w:rsidRPr="00250E94">
              <w:rPr>
                <w:rFonts w:eastAsiaTheme="minorHAnsi"/>
                <w:b/>
                <w:sz w:val="20"/>
                <w:szCs w:val="20"/>
                <w:lang w:val="en-US"/>
              </w:rPr>
              <w:t>-</w:t>
            </w:r>
          </w:p>
        </w:tc>
      </w:tr>
      <w:tr w:rsidR="00E73BD8" w:rsidRPr="00250E94" w14:paraId="341EA646" w14:textId="77777777" w:rsidTr="00B27F75">
        <w:trPr>
          <w:trHeight w:hRule="exact" w:val="322"/>
        </w:trPr>
        <w:tc>
          <w:tcPr>
            <w:tcW w:w="1633" w:type="dxa"/>
            <w:tcBorders>
              <w:top w:val="single" w:sz="4" w:space="0" w:color="000000"/>
              <w:left w:val="single" w:sz="4" w:space="0" w:color="auto"/>
              <w:bottom w:val="single" w:sz="4" w:space="0" w:color="000000"/>
              <w:right w:val="single" w:sz="4" w:space="0" w:color="auto"/>
            </w:tcBorders>
            <w:vAlign w:val="bottom"/>
          </w:tcPr>
          <w:p w14:paraId="209F8E42" w14:textId="77777777" w:rsidR="00E73BD8" w:rsidRPr="00250E94" w:rsidRDefault="00E73BD8" w:rsidP="00B27F75">
            <w:pPr>
              <w:widowControl w:val="0"/>
              <w:spacing w:after="200" w:line="240" w:lineRule="auto"/>
              <w:rPr>
                <w:rFonts w:eastAsiaTheme="minorHAnsi"/>
                <w:sz w:val="20"/>
                <w:szCs w:val="20"/>
                <w:lang w:val="en-US"/>
              </w:rPr>
            </w:pPr>
            <w:bookmarkStart w:id="80" w:name="_Hlk8542073"/>
            <w:r w:rsidRPr="00250E94">
              <w:rPr>
                <w:rFonts w:eastAsiaTheme="minorHAnsi"/>
                <w:sz w:val="20"/>
                <w:szCs w:val="20"/>
                <w:lang w:val="en-US"/>
              </w:rPr>
              <w:t>K2810A</w:t>
            </w:r>
            <w:bookmarkEnd w:id="80"/>
            <w:r w:rsidRPr="00250E94">
              <w:rPr>
                <w:rFonts w:eastAsiaTheme="minorHAnsi"/>
                <w:sz w:val="20"/>
                <w:szCs w:val="20"/>
                <w:lang w:val="en-US"/>
              </w:rPr>
              <w:t>, JH111</w:t>
            </w:r>
          </w:p>
        </w:tc>
        <w:tc>
          <w:tcPr>
            <w:tcW w:w="2408" w:type="dxa"/>
            <w:tcBorders>
              <w:top w:val="single" w:sz="4" w:space="0" w:color="000000"/>
              <w:left w:val="single" w:sz="4" w:space="0" w:color="auto"/>
              <w:bottom w:val="single" w:sz="4" w:space="0" w:color="000000"/>
              <w:right w:val="single" w:sz="4" w:space="0" w:color="auto"/>
            </w:tcBorders>
            <w:vAlign w:val="bottom"/>
          </w:tcPr>
          <w:p w14:paraId="24214E59" w14:textId="77777777" w:rsidR="00E73BD8" w:rsidRPr="00250E94" w:rsidRDefault="00E73BD8" w:rsidP="00B27F75">
            <w:pPr>
              <w:widowControl w:val="0"/>
              <w:spacing w:after="200" w:line="240" w:lineRule="auto"/>
              <w:rPr>
                <w:rFonts w:eastAsiaTheme="minorHAnsi"/>
                <w:sz w:val="20"/>
                <w:szCs w:val="20"/>
                <w:lang w:val="en-US"/>
              </w:rPr>
            </w:pPr>
            <w:r w:rsidRPr="00250E94">
              <w:rPr>
                <w:rFonts w:eastAsiaTheme="minorHAnsi"/>
                <w:sz w:val="20"/>
                <w:szCs w:val="20"/>
                <w:lang w:val="en-US"/>
              </w:rPr>
              <w:t>Most similar to Nile alluvium</w:t>
            </w:r>
          </w:p>
        </w:tc>
        <w:tc>
          <w:tcPr>
            <w:tcW w:w="2524" w:type="dxa"/>
            <w:tcBorders>
              <w:top w:val="single" w:sz="4" w:space="0" w:color="000000"/>
              <w:left w:val="single" w:sz="4" w:space="0" w:color="auto"/>
              <w:bottom w:val="single" w:sz="4" w:space="0" w:color="000000"/>
              <w:right w:val="single" w:sz="4" w:space="0" w:color="auto"/>
            </w:tcBorders>
            <w:vAlign w:val="bottom"/>
          </w:tcPr>
          <w:p w14:paraId="2CC7740A" w14:textId="77777777" w:rsidR="00E73BD8" w:rsidRPr="00250E94" w:rsidRDefault="00E73BD8" w:rsidP="00B27F75">
            <w:pPr>
              <w:widowControl w:val="0"/>
              <w:spacing w:after="200" w:line="240" w:lineRule="auto"/>
              <w:rPr>
                <w:rFonts w:eastAsiaTheme="minorHAnsi"/>
                <w:sz w:val="20"/>
                <w:szCs w:val="20"/>
                <w:lang w:val="en-US"/>
              </w:rPr>
            </w:pPr>
            <w:r w:rsidRPr="00250E94">
              <w:rPr>
                <w:rFonts w:eastAsiaTheme="minorHAnsi"/>
                <w:sz w:val="20"/>
                <w:szCs w:val="20"/>
                <w:lang w:val="en-US"/>
              </w:rPr>
              <w:t>Egypt</w:t>
            </w:r>
          </w:p>
        </w:tc>
        <w:tc>
          <w:tcPr>
            <w:tcW w:w="1256" w:type="dxa"/>
            <w:tcBorders>
              <w:top w:val="single" w:sz="4" w:space="0" w:color="000000"/>
              <w:left w:val="single" w:sz="4" w:space="0" w:color="auto"/>
              <w:bottom w:val="single" w:sz="4" w:space="0" w:color="000000"/>
              <w:right w:val="single" w:sz="4" w:space="0" w:color="auto"/>
            </w:tcBorders>
            <w:vAlign w:val="bottom"/>
          </w:tcPr>
          <w:p w14:paraId="7ABB76F3" w14:textId="77777777" w:rsidR="00E73BD8" w:rsidRPr="00250E94" w:rsidRDefault="00E73BD8" w:rsidP="00B27F75">
            <w:pPr>
              <w:widowControl w:val="0"/>
              <w:spacing w:after="200" w:line="240" w:lineRule="auto"/>
              <w:jc w:val="center"/>
              <w:rPr>
                <w:rFonts w:eastAsiaTheme="minorHAnsi"/>
                <w:sz w:val="20"/>
                <w:szCs w:val="20"/>
                <w:lang w:val="en-US"/>
              </w:rPr>
            </w:pPr>
            <w:r w:rsidRPr="00250E94">
              <w:rPr>
                <w:rFonts w:eastAsiaTheme="minorHAnsi"/>
                <w:sz w:val="20"/>
                <w:szCs w:val="20"/>
                <w:lang w:val="en-US"/>
              </w:rPr>
              <w:t>+</w:t>
            </w:r>
          </w:p>
        </w:tc>
        <w:tc>
          <w:tcPr>
            <w:tcW w:w="3690" w:type="dxa"/>
            <w:tcBorders>
              <w:top w:val="single" w:sz="4" w:space="0" w:color="000000"/>
              <w:left w:val="single" w:sz="4" w:space="0" w:color="auto"/>
              <w:bottom w:val="single" w:sz="4" w:space="0" w:color="000000"/>
              <w:right w:val="single" w:sz="4" w:space="0" w:color="auto"/>
            </w:tcBorders>
            <w:vAlign w:val="bottom"/>
          </w:tcPr>
          <w:p w14:paraId="04CF47E2" w14:textId="77777777" w:rsidR="00E73BD8" w:rsidRPr="00250E94" w:rsidRDefault="00E73BD8" w:rsidP="00B27F75">
            <w:pPr>
              <w:widowControl w:val="0"/>
              <w:spacing w:after="200" w:line="240" w:lineRule="auto"/>
              <w:rPr>
                <w:rFonts w:eastAsiaTheme="minorHAnsi"/>
                <w:sz w:val="20"/>
                <w:szCs w:val="20"/>
                <w:lang w:val="en-US"/>
              </w:rPr>
            </w:pPr>
            <w:r w:rsidRPr="00250E94">
              <w:rPr>
                <w:rFonts w:eastAsiaTheme="minorHAnsi"/>
                <w:sz w:val="20"/>
                <w:szCs w:val="20"/>
                <w:lang w:val="en-US"/>
              </w:rPr>
              <w:t>Nile Valley</w:t>
            </w:r>
          </w:p>
        </w:tc>
        <w:tc>
          <w:tcPr>
            <w:tcW w:w="1530" w:type="dxa"/>
            <w:tcBorders>
              <w:top w:val="single" w:sz="4" w:space="0" w:color="000000"/>
              <w:left w:val="single" w:sz="4" w:space="0" w:color="auto"/>
              <w:bottom w:val="single" w:sz="4" w:space="0" w:color="000000"/>
              <w:right w:val="single" w:sz="4" w:space="0" w:color="auto"/>
            </w:tcBorders>
            <w:vAlign w:val="bottom"/>
          </w:tcPr>
          <w:p w14:paraId="1F056978" w14:textId="77777777" w:rsidR="00E73BD8" w:rsidRPr="00250E94" w:rsidRDefault="00E73BD8" w:rsidP="00B27F75">
            <w:pPr>
              <w:widowControl w:val="0"/>
              <w:spacing w:after="200" w:line="240" w:lineRule="auto"/>
              <w:jc w:val="center"/>
              <w:rPr>
                <w:rFonts w:eastAsiaTheme="minorHAnsi"/>
                <w:sz w:val="20"/>
                <w:szCs w:val="20"/>
                <w:lang w:val="en-US"/>
              </w:rPr>
            </w:pPr>
            <w:r w:rsidRPr="00250E94">
              <w:rPr>
                <w:rFonts w:eastAsiaTheme="minorHAnsi"/>
                <w:sz w:val="20"/>
                <w:szCs w:val="20"/>
                <w:lang w:val="en-US"/>
              </w:rPr>
              <w:t>+</w:t>
            </w:r>
          </w:p>
        </w:tc>
        <w:tc>
          <w:tcPr>
            <w:tcW w:w="1440" w:type="dxa"/>
            <w:tcBorders>
              <w:top w:val="single" w:sz="4" w:space="0" w:color="000000"/>
              <w:left w:val="single" w:sz="4" w:space="0" w:color="auto"/>
              <w:bottom w:val="single" w:sz="4" w:space="0" w:color="000000"/>
              <w:right w:val="single" w:sz="4" w:space="0" w:color="auto"/>
            </w:tcBorders>
          </w:tcPr>
          <w:p w14:paraId="2DABD532" w14:textId="77777777" w:rsidR="00E73BD8" w:rsidRPr="00250E94" w:rsidRDefault="00E73BD8" w:rsidP="00B27F75">
            <w:pPr>
              <w:widowControl w:val="0"/>
              <w:spacing w:after="200" w:line="240" w:lineRule="auto"/>
              <w:jc w:val="center"/>
              <w:rPr>
                <w:rFonts w:eastAsiaTheme="minorHAnsi"/>
                <w:b/>
                <w:sz w:val="20"/>
                <w:szCs w:val="20"/>
                <w:lang w:val="en-US"/>
              </w:rPr>
            </w:pPr>
            <w:r w:rsidRPr="00250E94">
              <w:rPr>
                <w:rFonts w:eastAsiaTheme="minorHAnsi"/>
                <w:b/>
                <w:sz w:val="20"/>
                <w:szCs w:val="20"/>
                <w:lang w:val="en-US"/>
              </w:rPr>
              <w:t>+</w:t>
            </w:r>
          </w:p>
        </w:tc>
      </w:tr>
      <w:tr w:rsidR="00E73BD8" w:rsidRPr="00250E94" w14:paraId="47196C8B" w14:textId="77777777" w:rsidTr="00B27F75">
        <w:trPr>
          <w:trHeight w:hRule="exact" w:val="496"/>
        </w:trPr>
        <w:tc>
          <w:tcPr>
            <w:tcW w:w="1633" w:type="dxa"/>
            <w:tcBorders>
              <w:top w:val="single" w:sz="4" w:space="0" w:color="000000"/>
              <w:left w:val="single" w:sz="4" w:space="0" w:color="auto"/>
              <w:bottom w:val="single" w:sz="4" w:space="0" w:color="000000"/>
              <w:right w:val="single" w:sz="4" w:space="0" w:color="auto"/>
            </w:tcBorders>
            <w:vAlign w:val="bottom"/>
          </w:tcPr>
          <w:p w14:paraId="16DD8D5F" w14:textId="77777777" w:rsidR="00E73BD8" w:rsidRPr="00250E94" w:rsidRDefault="00E73BD8" w:rsidP="00B27F75">
            <w:pPr>
              <w:widowControl w:val="0"/>
              <w:spacing w:after="200" w:line="240" w:lineRule="auto"/>
              <w:rPr>
                <w:rFonts w:eastAsiaTheme="minorHAnsi"/>
                <w:sz w:val="20"/>
                <w:szCs w:val="20"/>
                <w:lang w:val="en-US"/>
              </w:rPr>
            </w:pPr>
            <w:r w:rsidRPr="00250E94">
              <w:rPr>
                <w:rFonts w:eastAsiaTheme="minorHAnsi"/>
                <w:sz w:val="20"/>
                <w:szCs w:val="20"/>
                <w:lang w:val="en-US"/>
              </w:rPr>
              <w:t>K3456, PMG125</w:t>
            </w:r>
          </w:p>
        </w:tc>
        <w:tc>
          <w:tcPr>
            <w:tcW w:w="2408" w:type="dxa"/>
            <w:tcBorders>
              <w:top w:val="single" w:sz="4" w:space="0" w:color="000000"/>
              <w:left w:val="single" w:sz="4" w:space="0" w:color="auto"/>
              <w:bottom w:val="single" w:sz="4" w:space="0" w:color="000000"/>
              <w:right w:val="single" w:sz="4" w:space="0" w:color="auto"/>
            </w:tcBorders>
            <w:vAlign w:val="bottom"/>
          </w:tcPr>
          <w:p w14:paraId="4C8522FE" w14:textId="77777777" w:rsidR="00E73BD8" w:rsidRPr="00250E94" w:rsidRDefault="00E73BD8" w:rsidP="00B27F75">
            <w:pPr>
              <w:widowControl w:val="0"/>
              <w:spacing w:after="200" w:line="240" w:lineRule="auto"/>
              <w:rPr>
                <w:rFonts w:eastAsiaTheme="minorHAnsi"/>
                <w:sz w:val="20"/>
                <w:szCs w:val="20"/>
                <w:lang w:val="en-US"/>
              </w:rPr>
            </w:pPr>
            <w:r w:rsidRPr="00250E94">
              <w:rPr>
                <w:rFonts w:eastAsiaTheme="minorHAnsi"/>
                <w:sz w:val="20"/>
                <w:szCs w:val="20"/>
                <w:lang w:val="en-US"/>
              </w:rPr>
              <w:t>? (possibly Southern Palestine)</w:t>
            </w:r>
          </w:p>
        </w:tc>
        <w:tc>
          <w:tcPr>
            <w:tcW w:w="2524" w:type="dxa"/>
            <w:tcBorders>
              <w:top w:val="single" w:sz="4" w:space="0" w:color="000000"/>
              <w:left w:val="single" w:sz="4" w:space="0" w:color="auto"/>
              <w:bottom w:val="single" w:sz="4" w:space="0" w:color="000000"/>
              <w:right w:val="single" w:sz="4" w:space="0" w:color="auto"/>
            </w:tcBorders>
            <w:vAlign w:val="bottom"/>
          </w:tcPr>
          <w:p w14:paraId="2A9C4DEE" w14:textId="77777777" w:rsidR="00E73BD8" w:rsidRPr="00250E94" w:rsidRDefault="00E73BD8" w:rsidP="00B27F75">
            <w:pPr>
              <w:widowControl w:val="0"/>
              <w:spacing w:after="200" w:line="240" w:lineRule="auto"/>
              <w:rPr>
                <w:rFonts w:eastAsiaTheme="minorHAnsi"/>
                <w:sz w:val="20"/>
                <w:szCs w:val="20"/>
                <w:lang w:val="en-US"/>
              </w:rPr>
            </w:pPr>
            <w:r w:rsidRPr="00250E94">
              <w:rPr>
                <w:rFonts w:eastAsiaTheme="minorHAnsi"/>
                <w:sz w:val="20"/>
                <w:szCs w:val="20"/>
                <w:lang w:val="en-US"/>
              </w:rPr>
              <w:t>Southern Coastal Plain (Southern Palestine)</w:t>
            </w:r>
          </w:p>
        </w:tc>
        <w:tc>
          <w:tcPr>
            <w:tcW w:w="1256" w:type="dxa"/>
            <w:tcBorders>
              <w:top w:val="single" w:sz="4" w:space="0" w:color="000000"/>
              <w:left w:val="single" w:sz="4" w:space="0" w:color="auto"/>
              <w:bottom w:val="single" w:sz="4" w:space="0" w:color="000000"/>
              <w:right w:val="single" w:sz="4" w:space="0" w:color="auto"/>
            </w:tcBorders>
            <w:vAlign w:val="bottom"/>
          </w:tcPr>
          <w:p w14:paraId="49666D44" w14:textId="77777777" w:rsidR="00E73BD8" w:rsidRPr="00250E94" w:rsidRDefault="00E73BD8" w:rsidP="00B27F75">
            <w:pPr>
              <w:widowControl w:val="0"/>
              <w:spacing w:after="200" w:line="240" w:lineRule="auto"/>
              <w:jc w:val="center"/>
              <w:rPr>
                <w:rFonts w:eastAsiaTheme="minorHAnsi"/>
                <w:sz w:val="20"/>
                <w:szCs w:val="20"/>
                <w:lang w:val="en-US"/>
              </w:rPr>
            </w:pPr>
            <w:r w:rsidRPr="00250E94">
              <w:rPr>
                <w:rFonts w:eastAsiaTheme="minorHAnsi"/>
                <w:sz w:val="20"/>
                <w:szCs w:val="20"/>
                <w:lang w:val="en-US"/>
              </w:rPr>
              <w:t>+</w:t>
            </w:r>
          </w:p>
        </w:tc>
        <w:tc>
          <w:tcPr>
            <w:tcW w:w="3690" w:type="dxa"/>
            <w:tcBorders>
              <w:top w:val="single" w:sz="4" w:space="0" w:color="000000"/>
              <w:left w:val="single" w:sz="4" w:space="0" w:color="auto"/>
              <w:bottom w:val="single" w:sz="4" w:space="0" w:color="000000"/>
              <w:right w:val="single" w:sz="4" w:space="0" w:color="auto"/>
            </w:tcBorders>
            <w:vAlign w:val="bottom"/>
          </w:tcPr>
          <w:p w14:paraId="797AA051" w14:textId="77777777" w:rsidR="00E73BD8" w:rsidRPr="00250E94" w:rsidRDefault="00E73BD8" w:rsidP="00B27F75">
            <w:pPr>
              <w:widowControl w:val="0"/>
              <w:spacing w:after="200" w:line="240" w:lineRule="auto"/>
              <w:rPr>
                <w:rFonts w:eastAsiaTheme="minorHAnsi"/>
                <w:sz w:val="20"/>
                <w:szCs w:val="20"/>
                <w:lang w:val="en-US"/>
              </w:rPr>
            </w:pPr>
            <w:r w:rsidRPr="00250E94">
              <w:rPr>
                <w:rFonts w:eastAsiaTheme="minorHAnsi"/>
                <w:sz w:val="20"/>
                <w:szCs w:val="20"/>
                <w:lang w:val="en-US"/>
              </w:rPr>
              <w:t>Northwestern Negev</w:t>
            </w:r>
          </w:p>
        </w:tc>
        <w:tc>
          <w:tcPr>
            <w:tcW w:w="1530" w:type="dxa"/>
            <w:tcBorders>
              <w:top w:val="single" w:sz="4" w:space="0" w:color="000000"/>
              <w:left w:val="single" w:sz="4" w:space="0" w:color="auto"/>
              <w:bottom w:val="single" w:sz="4" w:space="0" w:color="000000"/>
              <w:right w:val="single" w:sz="4" w:space="0" w:color="auto"/>
            </w:tcBorders>
            <w:vAlign w:val="bottom"/>
          </w:tcPr>
          <w:p w14:paraId="706542BA" w14:textId="77777777" w:rsidR="00E73BD8" w:rsidRPr="00250E94" w:rsidRDefault="00E73BD8" w:rsidP="00B27F75">
            <w:pPr>
              <w:widowControl w:val="0"/>
              <w:spacing w:after="200" w:line="240" w:lineRule="auto"/>
              <w:jc w:val="center"/>
              <w:rPr>
                <w:rFonts w:eastAsiaTheme="minorHAnsi"/>
                <w:sz w:val="20"/>
                <w:szCs w:val="20"/>
                <w:lang w:val="en-US"/>
              </w:rPr>
            </w:pPr>
            <w:r w:rsidRPr="00250E94">
              <w:rPr>
                <w:rFonts w:eastAsiaTheme="minorHAnsi"/>
                <w:sz w:val="20"/>
                <w:szCs w:val="20"/>
                <w:lang w:val="en-US"/>
              </w:rPr>
              <w:t>+</w:t>
            </w:r>
          </w:p>
        </w:tc>
        <w:tc>
          <w:tcPr>
            <w:tcW w:w="1440" w:type="dxa"/>
            <w:tcBorders>
              <w:top w:val="single" w:sz="4" w:space="0" w:color="000000"/>
              <w:left w:val="single" w:sz="4" w:space="0" w:color="auto"/>
              <w:bottom w:val="single" w:sz="4" w:space="0" w:color="000000"/>
              <w:right w:val="single" w:sz="4" w:space="0" w:color="auto"/>
            </w:tcBorders>
          </w:tcPr>
          <w:p w14:paraId="77BDCAC9" w14:textId="77777777" w:rsidR="00E73BD8" w:rsidRPr="00250E94" w:rsidRDefault="00E73BD8" w:rsidP="00B27F75">
            <w:pPr>
              <w:widowControl w:val="0"/>
              <w:spacing w:after="200" w:line="240" w:lineRule="auto"/>
              <w:jc w:val="center"/>
              <w:rPr>
                <w:rFonts w:eastAsiaTheme="minorHAnsi"/>
                <w:b/>
                <w:sz w:val="20"/>
                <w:szCs w:val="20"/>
                <w:lang w:val="en-US"/>
              </w:rPr>
            </w:pPr>
            <w:r w:rsidRPr="00250E94">
              <w:rPr>
                <w:rFonts w:eastAsiaTheme="minorHAnsi"/>
                <w:b/>
                <w:sz w:val="20"/>
                <w:szCs w:val="20"/>
                <w:lang w:val="en-US"/>
              </w:rPr>
              <w:t>+</w:t>
            </w:r>
          </w:p>
        </w:tc>
      </w:tr>
      <w:tr w:rsidR="00E73BD8" w:rsidRPr="00250E94" w14:paraId="04D60E13" w14:textId="77777777" w:rsidTr="00B27F75">
        <w:trPr>
          <w:trHeight w:hRule="exact" w:val="442"/>
        </w:trPr>
        <w:tc>
          <w:tcPr>
            <w:tcW w:w="1633" w:type="dxa"/>
            <w:tcBorders>
              <w:top w:val="single" w:sz="4" w:space="0" w:color="000000"/>
              <w:left w:val="single" w:sz="4" w:space="0" w:color="auto"/>
              <w:bottom w:val="single" w:sz="4" w:space="0" w:color="000000"/>
              <w:right w:val="single" w:sz="4" w:space="0" w:color="auto"/>
            </w:tcBorders>
            <w:vAlign w:val="bottom"/>
          </w:tcPr>
          <w:p w14:paraId="3565DD26" w14:textId="77777777" w:rsidR="00E73BD8" w:rsidRPr="00250E94" w:rsidRDefault="00E73BD8" w:rsidP="00B27F75">
            <w:pPr>
              <w:widowControl w:val="0"/>
              <w:spacing w:after="200" w:line="240" w:lineRule="auto"/>
              <w:rPr>
                <w:rFonts w:eastAsiaTheme="minorHAnsi"/>
                <w:sz w:val="20"/>
                <w:szCs w:val="20"/>
                <w:lang w:val="en-US"/>
              </w:rPr>
            </w:pPr>
            <w:r w:rsidRPr="00250E94">
              <w:rPr>
                <w:rFonts w:eastAsiaTheme="minorHAnsi"/>
                <w:sz w:val="20"/>
                <w:szCs w:val="20"/>
                <w:lang w:val="en-US"/>
              </w:rPr>
              <w:t>K3656, PMG104</w:t>
            </w:r>
          </w:p>
        </w:tc>
        <w:tc>
          <w:tcPr>
            <w:tcW w:w="2408" w:type="dxa"/>
            <w:tcBorders>
              <w:top w:val="single" w:sz="4" w:space="0" w:color="000000"/>
              <w:left w:val="single" w:sz="4" w:space="0" w:color="auto"/>
              <w:bottom w:val="single" w:sz="4" w:space="0" w:color="000000"/>
              <w:right w:val="single" w:sz="4" w:space="0" w:color="auto"/>
            </w:tcBorders>
            <w:vAlign w:val="bottom"/>
          </w:tcPr>
          <w:p w14:paraId="1FE1CDAD" w14:textId="77777777" w:rsidR="00E73BD8" w:rsidRPr="00250E94" w:rsidRDefault="00E73BD8" w:rsidP="00B27F75">
            <w:pPr>
              <w:widowControl w:val="0"/>
              <w:spacing w:after="200" w:line="240" w:lineRule="auto"/>
              <w:rPr>
                <w:rFonts w:eastAsiaTheme="minorHAnsi"/>
                <w:sz w:val="20"/>
                <w:szCs w:val="20"/>
                <w:lang w:val="en-US"/>
              </w:rPr>
            </w:pPr>
            <w:r w:rsidRPr="00250E94">
              <w:rPr>
                <w:rFonts w:eastAsiaTheme="minorHAnsi"/>
                <w:sz w:val="20"/>
                <w:szCs w:val="20"/>
                <w:lang w:val="en-US"/>
              </w:rPr>
              <w:t>Southern Palestine"</w:t>
            </w:r>
          </w:p>
        </w:tc>
        <w:tc>
          <w:tcPr>
            <w:tcW w:w="2524" w:type="dxa"/>
            <w:tcBorders>
              <w:top w:val="single" w:sz="4" w:space="0" w:color="000000"/>
              <w:left w:val="single" w:sz="4" w:space="0" w:color="auto"/>
              <w:bottom w:val="single" w:sz="4" w:space="0" w:color="000000"/>
              <w:right w:val="single" w:sz="4" w:space="0" w:color="auto"/>
            </w:tcBorders>
            <w:vAlign w:val="bottom"/>
          </w:tcPr>
          <w:p w14:paraId="349C3BA4" w14:textId="77777777" w:rsidR="00E73BD8" w:rsidRPr="00250E94" w:rsidRDefault="00E73BD8" w:rsidP="00B27F75">
            <w:pPr>
              <w:widowControl w:val="0"/>
              <w:spacing w:after="200" w:line="240" w:lineRule="auto"/>
              <w:rPr>
                <w:rFonts w:eastAsiaTheme="minorHAnsi"/>
                <w:sz w:val="20"/>
                <w:szCs w:val="20"/>
                <w:lang w:val="en-US"/>
              </w:rPr>
            </w:pPr>
            <w:r w:rsidRPr="00250E94">
              <w:rPr>
                <w:rFonts w:eastAsiaTheme="minorHAnsi"/>
                <w:sz w:val="20"/>
                <w:szCs w:val="20"/>
                <w:lang w:val="en-US"/>
              </w:rPr>
              <w:t>Shephelah (Southern Palestine)</w:t>
            </w:r>
          </w:p>
        </w:tc>
        <w:tc>
          <w:tcPr>
            <w:tcW w:w="1256" w:type="dxa"/>
            <w:tcBorders>
              <w:top w:val="single" w:sz="4" w:space="0" w:color="000000"/>
              <w:left w:val="single" w:sz="4" w:space="0" w:color="auto"/>
              <w:bottom w:val="single" w:sz="4" w:space="0" w:color="000000"/>
              <w:right w:val="single" w:sz="4" w:space="0" w:color="auto"/>
            </w:tcBorders>
            <w:vAlign w:val="bottom"/>
          </w:tcPr>
          <w:p w14:paraId="68A8DB97" w14:textId="77777777" w:rsidR="00E73BD8" w:rsidRPr="00250E94" w:rsidRDefault="00E73BD8" w:rsidP="00B27F75">
            <w:pPr>
              <w:widowControl w:val="0"/>
              <w:spacing w:after="200" w:line="240" w:lineRule="auto"/>
              <w:jc w:val="center"/>
              <w:rPr>
                <w:rFonts w:eastAsiaTheme="minorHAnsi"/>
                <w:sz w:val="20"/>
                <w:szCs w:val="20"/>
                <w:lang w:val="en-US"/>
              </w:rPr>
            </w:pPr>
            <w:r w:rsidRPr="00250E94">
              <w:rPr>
                <w:rFonts w:eastAsiaTheme="minorHAnsi"/>
                <w:sz w:val="20"/>
                <w:szCs w:val="20"/>
                <w:lang w:val="en-US"/>
              </w:rPr>
              <w:t>+</w:t>
            </w:r>
          </w:p>
        </w:tc>
        <w:tc>
          <w:tcPr>
            <w:tcW w:w="3690" w:type="dxa"/>
            <w:tcBorders>
              <w:top w:val="single" w:sz="4" w:space="0" w:color="000000"/>
              <w:left w:val="single" w:sz="4" w:space="0" w:color="auto"/>
              <w:bottom w:val="single" w:sz="4" w:space="0" w:color="000000"/>
              <w:right w:val="single" w:sz="4" w:space="0" w:color="auto"/>
            </w:tcBorders>
            <w:vAlign w:val="bottom"/>
          </w:tcPr>
          <w:p w14:paraId="30FD27F7" w14:textId="77777777" w:rsidR="00E73BD8" w:rsidRPr="00250E94" w:rsidRDefault="00E73BD8" w:rsidP="00B27F75">
            <w:pPr>
              <w:widowControl w:val="0"/>
              <w:spacing w:after="200" w:line="240" w:lineRule="auto"/>
              <w:rPr>
                <w:rFonts w:eastAsiaTheme="minorHAnsi"/>
                <w:sz w:val="20"/>
                <w:szCs w:val="20"/>
                <w:lang w:val="en-US"/>
              </w:rPr>
            </w:pPr>
            <w:r w:rsidRPr="00250E94">
              <w:rPr>
                <w:rFonts w:eastAsiaTheme="minorHAnsi"/>
                <w:sz w:val="20"/>
                <w:szCs w:val="20"/>
                <w:lang w:val="en-US"/>
              </w:rPr>
              <w:t>Central coast of Israel</w:t>
            </w:r>
          </w:p>
        </w:tc>
        <w:tc>
          <w:tcPr>
            <w:tcW w:w="1530" w:type="dxa"/>
            <w:tcBorders>
              <w:top w:val="single" w:sz="4" w:space="0" w:color="000000"/>
              <w:left w:val="single" w:sz="4" w:space="0" w:color="auto"/>
              <w:bottom w:val="single" w:sz="4" w:space="0" w:color="000000"/>
              <w:right w:val="single" w:sz="4" w:space="0" w:color="auto"/>
            </w:tcBorders>
            <w:vAlign w:val="bottom"/>
          </w:tcPr>
          <w:p w14:paraId="7AF30F16" w14:textId="77777777" w:rsidR="00E73BD8" w:rsidRPr="00250E94" w:rsidRDefault="00E73BD8" w:rsidP="00B27F75">
            <w:pPr>
              <w:widowControl w:val="0"/>
              <w:spacing w:after="200" w:line="240" w:lineRule="auto"/>
              <w:jc w:val="center"/>
              <w:rPr>
                <w:rFonts w:eastAsiaTheme="minorHAnsi"/>
                <w:sz w:val="20"/>
                <w:szCs w:val="20"/>
                <w:lang w:val="en-US"/>
              </w:rPr>
            </w:pPr>
            <w:r w:rsidRPr="00250E94">
              <w:rPr>
                <w:rFonts w:eastAsiaTheme="minorHAnsi"/>
                <w:sz w:val="20"/>
                <w:szCs w:val="20"/>
                <w:lang w:val="en-US"/>
              </w:rPr>
              <w:t>?</w:t>
            </w:r>
          </w:p>
        </w:tc>
        <w:tc>
          <w:tcPr>
            <w:tcW w:w="1440" w:type="dxa"/>
            <w:tcBorders>
              <w:top w:val="single" w:sz="4" w:space="0" w:color="000000"/>
              <w:left w:val="single" w:sz="4" w:space="0" w:color="auto"/>
              <w:bottom w:val="single" w:sz="4" w:space="0" w:color="000000"/>
              <w:right w:val="single" w:sz="4" w:space="0" w:color="auto"/>
            </w:tcBorders>
          </w:tcPr>
          <w:p w14:paraId="5996AF75" w14:textId="77777777" w:rsidR="00E73BD8" w:rsidRPr="00250E94" w:rsidRDefault="00E73BD8" w:rsidP="00B27F75">
            <w:pPr>
              <w:widowControl w:val="0"/>
              <w:spacing w:after="200" w:line="240" w:lineRule="auto"/>
              <w:jc w:val="center"/>
              <w:rPr>
                <w:rFonts w:eastAsiaTheme="minorHAnsi"/>
                <w:b/>
                <w:sz w:val="20"/>
                <w:szCs w:val="20"/>
                <w:lang w:val="en-US"/>
              </w:rPr>
            </w:pPr>
            <w:r w:rsidRPr="00250E94">
              <w:rPr>
                <w:rFonts w:eastAsiaTheme="minorHAnsi"/>
                <w:b/>
                <w:sz w:val="20"/>
                <w:szCs w:val="20"/>
                <w:lang w:val="en-US"/>
              </w:rPr>
              <w:t>-</w:t>
            </w:r>
          </w:p>
        </w:tc>
      </w:tr>
      <w:tr w:rsidR="00E73BD8" w:rsidRPr="00250E94" w14:paraId="5AF48A0D" w14:textId="77777777" w:rsidTr="00B27F75">
        <w:trPr>
          <w:trHeight w:hRule="exact" w:val="322"/>
        </w:trPr>
        <w:tc>
          <w:tcPr>
            <w:tcW w:w="1633" w:type="dxa"/>
            <w:tcBorders>
              <w:top w:val="single" w:sz="4" w:space="0" w:color="000000"/>
              <w:left w:val="single" w:sz="4" w:space="0" w:color="auto"/>
              <w:bottom w:val="single" w:sz="4" w:space="0" w:color="auto"/>
              <w:right w:val="single" w:sz="4" w:space="0" w:color="auto"/>
            </w:tcBorders>
            <w:vAlign w:val="bottom"/>
          </w:tcPr>
          <w:p w14:paraId="22E697F7" w14:textId="77777777" w:rsidR="00E73BD8" w:rsidRPr="00250E94" w:rsidRDefault="00E73BD8" w:rsidP="00B27F75">
            <w:pPr>
              <w:widowControl w:val="0"/>
              <w:spacing w:after="200" w:line="240" w:lineRule="auto"/>
              <w:rPr>
                <w:rFonts w:eastAsiaTheme="minorHAnsi"/>
                <w:sz w:val="20"/>
                <w:szCs w:val="20"/>
                <w:lang w:val="en-US"/>
              </w:rPr>
            </w:pPr>
            <w:bookmarkStart w:id="81" w:name="_Hlk8541924"/>
            <w:r w:rsidRPr="00250E94">
              <w:rPr>
                <w:rFonts w:eastAsiaTheme="minorHAnsi"/>
                <w:sz w:val="20"/>
                <w:szCs w:val="20"/>
                <w:lang w:val="en-US"/>
              </w:rPr>
              <w:t>?, JH672</w:t>
            </w:r>
            <w:bookmarkEnd w:id="81"/>
          </w:p>
        </w:tc>
        <w:tc>
          <w:tcPr>
            <w:tcW w:w="2408" w:type="dxa"/>
            <w:tcBorders>
              <w:top w:val="single" w:sz="4" w:space="0" w:color="000000"/>
              <w:left w:val="single" w:sz="4" w:space="0" w:color="auto"/>
              <w:bottom w:val="single" w:sz="4" w:space="0" w:color="auto"/>
              <w:right w:val="single" w:sz="4" w:space="0" w:color="auto"/>
            </w:tcBorders>
            <w:vAlign w:val="bottom"/>
          </w:tcPr>
          <w:p w14:paraId="0360A6E4" w14:textId="77777777" w:rsidR="00E73BD8" w:rsidRPr="00250E94" w:rsidRDefault="00E73BD8" w:rsidP="00B27F75">
            <w:pPr>
              <w:widowControl w:val="0"/>
              <w:spacing w:after="200" w:line="240" w:lineRule="auto"/>
              <w:rPr>
                <w:rFonts w:eastAsiaTheme="minorHAnsi"/>
                <w:sz w:val="20"/>
                <w:szCs w:val="20"/>
                <w:lang w:val="en-US"/>
              </w:rPr>
            </w:pPr>
            <w:r w:rsidRPr="00250E94">
              <w:rPr>
                <w:rFonts w:eastAsiaTheme="minorHAnsi"/>
                <w:sz w:val="20"/>
                <w:szCs w:val="20"/>
                <w:lang w:val="en-US"/>
              </w:rPr>
              <w:t>Fayyum-Maadi marl clay</w:t>
            </w:r>
          </w:p>
        </w:tc>
        <w:tc>
          <w:tcPr>
            <w:tcW w:w="2524" w:type="dxa"/>
            <w:tcBorders>
              <w:top w:val="single" w:sz="4" w:space="0" w:color="000000"/>
              <w:left w:val="single" w:sz="4" w:space="0" w:color="auto"/>
              <w:bottom w:val="single" w:sz="4" w:space="0" w:color="auto"/>
              <w:right w:val="single" w:sz="4" w:space="0" w:color="auto"/>
            </w:tcBorders>
            <w:vAlign w:val="bottom"/>
          </w:tcPr>
          <w:p w14:paraId="2DEF293C" w14:textId="77777777" w:rsidR="00E73BD8" w:rsidRPr="00250E94" w:rsidRDefault="00E73BD8" w:rsidP="00B27F75">
            <w:pPr>
              <w:widowControl w:val="0"/>
              <w:spacing w:after="200" w:line="240" w:lineRule="auto"/>
              <w:rPr>
                <w:rFonts w:eastAsiaTheme="minorHAnsi"/>
                <w:sz w:val="20"/>
                <w:szCs w:val="20"/>
                <w:lang w:val="en-US"/>
              </w:rPr>
            </w:pPr>
            <w:r w:rsidRPr="00250E94">
              <w:rPr>
                <w:rFonts w:eastAsiaTheme="minorHAnsi"/>
                <w:sz w:val="20"/>
                <w:szCs w:val="20"/>
                <w:lang w:val="en-US"/>
              </w:rPr>
              <w:t>Egypt</w:t>
            </w:r>
          </w:p>
        </w:tc>
        <w:tc>
          <w:tcPr>
            <w:tcW w:w="1256" w:type="dxa"/>
            <w:tcBorders>
              <w:top w:val="single" w:sz="4" w:space="0" w:color="000000"/>
              <w:left w:val="single" w:sz="4" w:space="0" w:color="auto"/>
              <w:bottom w:val="single" w:sz="4" w:space="0" w:color="auto"/>
              <w:right w:val="single" w:sz="4" w:space="0" w:color="auto"/>
            </w:tcBorders>
            <w:vAlign w:val="bottom"/>
          </w:tcPr>
          <w:p w14:paraId="4B0DA34F" w14:textId="77777777" w:rsidR="00E73BD8" w:rsidRPr="00250E94" w:rsidRDefault="00E73BD8" w:rsidP="00B27F75">
            <w:pPr>
              <w:widowControl w:val="0"/>
              <w:spacing w:after="200" w:line="240" w:lineRule="auto"/>
              <w:jc w:val="center"/>
              <w:rPr>
                <w:rFonts w:eastAsiaTheme="minorHAnsi"/>
                <w:sz w:val="20"/>
                <w:szCs w:val="20"/>
                <w:lang w:val="en-US"/>
              </w:rPr>
            </w:pPr>
            <w:r w:rsidRPr="00250E94">
              <w:rPr>
                <w:rFonts w:eastAsiaTheme="minorHAnsi"/>
                <w:sz w:val="20"/>
                <w:szCs w:val="20"/>
                <w:lang w:val="en-US"/>
              </w:rPr>
              <w:t>+</w:t>
            </w:r>
          </w:p>
        </w:tc>
        <w:tc>
          <w:tcPr>
            <w:tcW w:w="3690" w:type="dxa"/>
            <w:tcBorders>
              <w:top w:val="single" w:sz="4" w:space="0" w:color="000000"/>
              <w:left w:val="single" w:sz="4" w:space="0" w:color="auto"/>
              <w:bottom w:val="single" w:sz="4" w:space="0" w:color="auto"/>
              <w:right w:val="single" w:sz="4" w:space="0" w:color="auto"/>
            </w:tcBorders>
            <w:vAlign w:val="bottom"/>
          </w:tcPr>
          <w:p w14:paraId="653EF699" w14:textId="77777777" w:rsidR="00E73BD8" w:rsidRPr="00250E94" w:rsidRDefault="00E73BD8" w:rsidP="00B27F75">
            <w:pPr>
              <w:widowControl w:val="0"/>
              <w:spacing w:after="200" w:line="240" w:lineRule="auto"/>
              <w:rPr>
                <w:rFonts w:eastAsiaTheme="minorHAnsi"/>
                <w:sz w:val="20"/>
                <w:szCs w:val="20"/>
                <w:lang w:val="en-US"/>
              </w:rPr>
            </w:pPr>
            <w:r w:rsidRPr="00250E94">
              <w:rPr>
                <w:rFonts w:eastAsiaTheme="minorHAnsi"/>
                <w:sz w:val="20"/>
                <w:szCs w:val="20"/>
                <w:lang w:val="en-US"/>
              </w:rPr>
              <w:t>Lebanon east of the coast line Beirut-Byblos</w:t>
            </w:r>
          </w:p>
        </w:tc>
        <w:tc>
          <w:tcPr>
            <w:tcW w:w="1530" w:type="dxa"/>
            <w:tcBorders>
              <w:top w:val="single" w:sz="4" w:space="0" w:color="000000"/>
              <w:left w:val="single" w:sz="4" w:space="0" w:color="auto"/>
              <w:bottom w:val="single" w:sz="4" w:space="0" w:color="auto"/>
              <w:right w:val="single" w:sz="4" w:space="0" w:color="auto"/>
            </w:tcBorders>
            <w:vAlign w:val="bottom"/>
          </w:tcPr>
          <w:p w14:paraId="3B8730D0" w14:textId="77777777" w:rsidR="00E73BD8" w:rsidRPr="00250E94" w:rsidRDefault="00E73BD8" w:rsidP="00B27F75">
            <w:pPr>
              <w:widowControl w:val="0"/>
              <w:spacing w:after="200" w:line="240" w:lineRule="auto"/>
              <w:jc w:val="center"/>
              <w:rPr>
                <w:rFonts w:eastAsiaTheme="minorHAnsi"/>
                <w:sz w:val="20"/>
                <w:szCs w:val="20"/>
                <w:lang w:val="en-US"/>
              </w:rPr>
            </w:pPr>
            <w:r w:rsidRPr="00250E94">
              <w:rPr>
                <w:rFonts w:eastAsiaTheme="minorHAnsi"/>
                <w:sz w:val="20"/>
                <w:szCs w:val="20"/>
                <w:lang w:val="en-US"/>
              </w:rPr>
              <w:t>-</w:t>
            </w:r>
          </w:p>
        </w:tc>
        <w:tc>
          <w:tcPr>
            <w:tcW w:w="1440" w:type="dxa"/>
            <w:tcBorders>
              <w:top w:val="single" w:sz="4" w:space="0" w:color="000000"/>
              <w:left w:val="single" w:sz="4" w:space="0" w:color="auto"/>
              <w:bottom w:val="single" w:sz="4" w:space="0" w:color="auto"/>
              <w:right w:val="single" w:sz="4" w:space="0" w:color="auto"/>
            </w:tcBorders>
          </w:tcPr>
          <w:p w14:paraId="4C685E40" w14:textId="77777777" w:rsidR="00E73BD8" w:rsidRPr="00250E94" w:rsidRDefault="00E73BD8" w:rsidP="00B27F75">
            <w:pPr>
              <w:widowControl w:val="0"/>
              <w:spacing w:after="200" w:line="240" w:lineRule="auto"/>
              <w:jc w:val="center"/>
              <w:rPr>
                <w:rFonts w:eastAsiaTheme="minorHAnsi"/>
                <w:b/>
                <w:sz w:val="20"/>
                <w:szCs w:val="20"/>
                <w:lang w:val="en-US"/>
              </w:rPr>
            </w:pPr>
            <w:r w:rsidRPr="00250E94">
              <w:rPr>
                <w:rFonts w:eastAsiaTheme="minorHAnsi"/>
                <w:b/>
                <w:sz w:val="20"/>
                <w:szCs w:val="20"/>
                <w:lang w:val="en-US"/>
              </w:rPr>
              <w:t>-</w:t>
            </w:r>
          </w:p>
        </w:tc>
      </w:tr>
    </w:tbl>
    <w:p w14:paraId="4263E52B" w14:textId="77777777" w:rsidR="00F05ABB" w:rsidRDefault="00F05ABB" w:rsidP="00E73BD8">
      <w:pPr>
        <w:widowControl w:val="0"/>
        <w:spacing w:after="200" w:line="240" w:lineRule="auto"/>
        <w:rPr>
          <w:rFonts w:eastAsiaTheme="minorHAnsi"/>
          <w:sz w:val="18"/>
          <w:szCs w:val="18"/>
          <w:lang w:val="en-US"/>
        </w:rPr>
        <w:sectPr w:rsidR="00F05ABB" w:rsidSect="00F05ABB">
          <w:pgSz w:w="16836" w:h="11904" w:orient="landscape" w:code="9"/>
          <w:pgMar w:top="864" w:right="1080" w:bottom="864" w:left="1080" w:header="1440" w:footer="1440" w:gutter="0"/>
          <w:cols w:space="720"/>
          <w:titlePg/>
          <w:docGrid w:linePitch="326"/>
        </w:sectPr>
      </w:pPr>
    </w:p>
    <w:p w14:paraId="1114A3D9" w14:textId="77777777" w:rsidR="00E73BD8" w:rsidRPr="0059317C" w:rsidRDefault="00E73BD8" w:rsidP="00E73BD8">
      <w:pPr>
        <w:spacing w:after="0" w:line="259" w:lineRule="auto"/>
        <w:rPr>
          <w:rFonts w:eastAsiaTheme="minorEastAsia"/>
          <w:b/>
          <w:szCs w:val="20"/>
          <w:lang w:val="en-CA"/>
        </w:rPr>
      </w:pPr>
      <w:r w:rsidRPr="0059317C">
        <w:rPr>
          <w:rFonts w:eastAsiaTheme="minorEastAsia"/>
          <w:b/>
          <w:szCs w:val="20"/>
          <w:lang w:val="en-CA"/>
        </w:rPr>
        <w:lastRenderedPageBreak/>
        <w:t>Acknowledgments</w:t>
      </w:r>
    </w:p>
    <w:p w14:paraId="5FDE6724" w14:textId="77777777" w:rsidR="00E73BD8" w:rsidRPr="0059317C" w:rsidRDefault="00E73BD8" w:rsidP="00E73BD8">
      <w:pPr>
        <w:spacing w:after="0" w:line="259" w:lineRule="auto"/>
        <w:jc w:val="center"/>
        <w:rPr>
          <w:rFonts w:eastAsiaTheme="minorEastAsia"/>
          <w:szCs w:val="20"/>
          <w:lang w:val="en-CA"/>
        </w:rPr>
      </w:pPr>
    </w:p>
    <w:p w14:paraId="7227A977" w14:textId="77777777" w:rsidR="00E73BD8" w:rsidRPr="0059317C" w:rsidRDefault="00E73BD8" w:rsidP="00E73BD8">
      <w:pPr>
        <w:spacing w:after="0" w:line="259" w:lineRule="auto"/>
        <w:rPr>
          <w:rFonts w:eastAsiaTheme="minorEastAsia"/>
          <w:szCs w:val="20"/>
          <w:lang w:val="en-CA"/>
        </w:rPr>
      </w:pPr>
      <w:r w:rsidRPr="0059317C">
        <w:rPr>
          <w:rFonts w:eastAsiaTheme="minorEastAsia"/>
          <w:szCs w:val="20"/>
          <w:lang w:val="en-CA"/>
        </w:rPr>
        <w:t>The authors benefited greatly from recent discussions of the issues addressed in this Appendix and Addendum with the following:</w:t>
      </w:r>
    </w:p>
    <w:p w14:paraId="769D2ED1" w14:textId="77777777" w:rsidR="00E73BD8" w:rsidRPr="0059317C" w:rsidRDefault="00E73BD8" w:rsidP="00E73BD8">
      <w:pPr>
        <w:spacing w:after="0" w:line="259" w:lineRule="auto"/>
        <w:rPr>
          <w:rFonts w:eastAsiaTheme="minorEastAsia"/>
          <w:szCs w:val="20"/>
          <w:lang w:val="en-CA"/>
        </w:rPr>
      </w:pPr>
    </w:p>
    <w:p w14:paraId="0719FA0C" w14:textId="77777777" w:rsidR="00E73BD8" w:rsidRPr="0059317C" w:rsidRDefault="00E73BD8" w:rsidP="00E73BD8">
      <w:pPr>
        <w:spacing w:after="0" w:line="259" w:lineRule="auto"/>
        <w:rPr>
          <w:rFonts w:eastAsiaTheme="minorEastAsia"/>
          <w:szCs w:val="20"/>
          <w:lang w:val="en-CA"/>
        </w:rPr>
      </w:pPr>
      <w:r w:rsidRPr="0059317C">
        <w:rPr>
          <w:rFonts w:eastAsiaTheme="minorEastAsia"/>
          <w:szCs w:val="20"/>
          <w:lang w:val="en-CA"/>
        </w:rPr>
        <w:t xml:space="preserve">Dr. Marie-Claude Boileau </w:t>
      </w:r>
    </w:p>
    <w:p w14:paraId="0A9A440D" w14:textId="77777777" w:rsidR="00E73BD8" w:rsidRPr="0059317C" w:rsidRDefault="00E73BD8" w:rsidP="00E73BD8">
      <w:pPr>
        <w:spacing w:after="0" w:line="259" w:lineRule="auto"/>
        <w:rPr>
          <w:rFonts w:eastAsiaTheme="minorEastAsia"/>
          <w:szCs w:val="20"/>
          <w:lang w:val="en-CA"/>
        </w:rPr>
      </w:pPr>
      <w:r w:rsidRPr="0059317C">
        <w:rPr>
          <w:rFonts w:eastAsiaTheme="minorEastAsia"/>
          <w:szCs w:val="20"/>
          <w:lang w:val="en-CA"/>
        </w:rPr>
        <w:t>Center for the Analysis of Archaeological Materials (CAAM), University of Pennsylvania Museum</w:t>
      </w:r>
    </w:p>
    <w:p w14:paraId="5B316835" w14:textId="77777777" w:rsidR="00E73BD8" w:rsidRPr="0059317C" w:rsidRDefault="00E73BD8" w:rsidP="00E73BD8">
      <w:pPr>
        <w:spacing w:after="0" w:line="259" w:lineRule="auto"/>
        <w:rPr>
          <w:rFonts w:eastAsiaTheme="minorEastAsia"/>
          <w:szCs w:val="20"/>
          <w:lang w:val="en-CA"/>
        </w:rPr>
      </w:pPr>
    </w:p>
    <w:p w14:paraId="1177B005" w14:textId="77777777" w:rsidR="00E73BD8" w:rsidRPr="0059317C" w:rsidRDefault="00E73BD8" w:rsidP="00E73BD8">
      <w:pPr>
        <w:spacing w:after="0" w:line="259" w:lineRule="auto"/>
        <w:rPr>
          <w:rFonts w:eastAsiaTheme="minorEastAsia"/>
          <w:szCs w:val="20"/>
          <w:lang w:val="en-CA"/>
        </w:rPr>
      </w:pPr>
      <w:r w:rsidRPr="0059317C">
        <w:rPr>
          <w:rFonts w:eastAsiaTheme="minorEastAsia"/>
          <w:szCs w:val="20"/>
          <w:lang w:val="en-CA"/>
        </w:rPr>
        <w:t xml:space="preserve">Dr. William Gilstrap </w:t>
      </w:r>
    </w:p>
    <w:p w14:paraId="37A85F79" w14:textId="77777777" w:rsidR="00E73BD8" w:rsidRPr="0059317C" w:rsidRDefault="00E73BD8" w:rsidP="00E73BD8">
      <w:pPr>
        <w:spacing w:after="0" w:line="259" w:lineRule="auto"/>
        <w:rPr>
          <w:rFonts w:eastAsiaTheme="minorEastAsia"/>
          <w:szCs w:val="20"/>
          <w:lang w:val="en-CA"/>
        </w:rPr>
      </w:pPr>
      <w:r w:rsidRPr="0059317C">
        <w:rPr>
          <w:rFonts w:eastAsiaTheme="minorEastAsia"/>
          <w:szCs w:val="20"/>
          <w:lang w:val="en-CA"/>
        </w:rPr>
        <w:t>Center for Materials Research in Archaeology and Ethnology, Massachusetts Institute of Technology</w:t>
      </w:r>
    </w:p>
    <w:p w14:paraId="51636C83" w14:textId="77777777" w:rsidR="00E73BD8" w:rsidRPr="0059317C" w:rsidRDefault="00E73BD8" w:rsidP="00E73BD8">
      <w:pPr>
        <w:spacing w:after="0" w:line="259" w:lineRule="auto"/>
        <w:rPr>
          <w:rFonts w:eastAsiaTheme="minorEastAsia"/>
          <w:szCs w:val="20"/>
          <w:lang w:val="en-CA"/>
        </w:rPr>
      </w:pPr>
    </w:p>
    <w:p w14:paraId="6E46C956" w14:textId="77777777" w:rsidR="00E73BD8" w:rsidRPr="0059317C" w:rsidRDefault="00E73BD8" w:rsidP="00E73BD8">
      <w:pPr>
        <w:spacing w:after="0" w:line="259" w:lineRule="auto"/>
        <w:rPr>
          <w:rFonts w:eastAsiaTheme="minorEastAsia"/>
          <w:szCs w:val="20"/>
          <w:lang w:val="en-CA"/>
        </w:rPr>
      </w:pPr>
      <w:r w:rsidRPr="0059317C">
        <w:rPr>
          <w:rFonts w:eastAsiaTheme="minorEastAsia"/>
          <w:szCs w:val="20"/>
          <w:lang w:val="en-CA"/>
        </w:rPr>
        <w:t>Dr. Michael Glascock</w:t>
      </w:r>
    </w:p>
    <w:p w14:paraId="2CA6C9BA" w14:textId="77777777" w:rsidR="00E73BD8" w:rsidRPr="0059317C" w:rsidRDefault="00E73BD8" w:rsidP="00E73BD8">
      <w:pPr>
        <w:spacing w:after="0" w:line="259" w:lineRule="auto"/>
        <w:rPr>
          <w:rFonts w:eastAsiaTheme="minorEastAsia"/>
          <w:szCs w:val="20"/>
          <w:lang w:val="en-CA"/>
        </w:rPr>
      </w:pPr>
      <w:r w:rsidRPr="0059317C">
        <w:rPr>
          <w:rFonts w:eastAsiaTheme="minorEastAsia"/>
          <w:szCs w:val="20"/>
          <w:lang w:val="en-CA"/>
        </w:rPr>
        <w:t>Research Reactor Center, Archaeometry Laboratory, University of Missouri—Columbia</w:t>
      </w:r>
    </w:p>
    <w:p w14:paraId="1595A430" w14:textId="77777777" w:rsidR="00E73BD8" w:rsidRPr="0059317C" w:rsidRDefault="00E73BD8" w:rsidP="00E73BD8">
      <w:pPr>
        <w:spacing w:after="0" w:line="259" w:lineRule="auto"/>
        <w:rPr>
          <w:rFonts w:eastAsiaTheme="minorEastAsia"/>
          <w:szCs w:val="20"/>
          <w:lang w:val="en-CA"/>
        </w:rPr>
      </w:pPr>
    </w:p>
    <w:p w14:paraId="28C88115" w14:textId="77777777" w:rsidR="00E73BD8" w:rsidRPr="0059317C" w:rsidRDefault="00E73BD8" w:rsidP="00E73BD8">
      <w:pPr>
        <w:spacing w:after="0" w:line="259" w:lineRule="auto"/>
        <w:rPr>
          <w:rFonts w:eastAsiaTheme="minorEastAsia"/>
          <w:szCs w:val="20"/>
          <w:lang w:val="en-CA"/>
        </w:rPr>
      </w:pPr>
      <w:r w:rsidRPr="0059317C">
        <w:rPr>
          <w:rFonts w:eastAsiaTheme="minorEastAsia"/>
          <w:szCs w:val="20"/>
          <w:lang w:val="en-CA"/>
        </w:rPr>
        <w:t>Dr. Gretchen R. Hall</w:t>
      </w:r>
    </w:p>
    <w:p w14:paraId="2F0CCC96" w14:textId="77777777" w:rsidR="00E73BD8" w:rsidRPr="0059317C" w:rsidRDefault="00E73BD8" w:rsidP="00E73BD8">
      <w:pPr>
        <w:spacing w:after="0" w:line="259" w:lineRule="auto"/>
        <w:rPr>
          <w:rFonts w:eastAsiaTheme="minorEastAsia"/>
          <w:szCs w:val="20"/>
          <w:lang w:val="en-CA"/>
        </w:rPr>
      </w:pPr>
      <w:r w:rsidRPr="0059317C">
        <w:rPr>
          <w:rFonts w:eastAsiaTheme="minorEastAsia"/>
          <w:szCs w:val="20"/>
          <w:lang w:val="en-CA"/>
        </w:rPr>
        <w:t>Biomolecular Archaeology Project, University of Pennsylvania Museum</w:t>
      </w:r>
    </w:p>
    <w:p w14:paraId="191154AF" w14:textId="77777777" w:rsidR="00E73BD8" w:rsidRPr="0059317C" w:rsidRDefault="00E73BD8" w:rsidP="00E73BD8">
      <w:pPr>
        <w:spacing w:after="0" w:line="259" w:lineRule="auto"/>
        <w:rPr>
          <w:rFonts w:eastAsiaTheme="minorEastAsia"/>
          <w:szCs w:val="20"/>
          <w:lang w:val="en-CA"/>
        </w:rPr>
      </w:pPr>
    </w:p>
    <w:p w14:paraId="48EA8E46" w14:textId="77777777" w:rsidR="00E73BD8" w:rsidRDefault="00E73BD8" w:rsidP="00E73BD8">
      <w:pPr>
        <w:spacing w:after="0" w:line="259" w:lineRule="auto"/>
        <w:rPr>
          <w:rFonts w:eastAsiaTheme="minorEastAsia"/>
          <w:szCs w:val="20"/>
          <w:lang w:val="en-CA"/>
        </w:rPr>
      </w:pPr>
      <w:r>
        <w:rPr>
          <w:rFonts w:eastAsiaTheme="minorEastAsia"/>
          <w:szCs w:val="20"/>
          <w:lang w:val="en-CA"/>
        </w:rPr>
        <w:t>Include Daphna?</w:t>
      </w:r>
    </w:p>
    <w:p w14:paraId="6960DEF5" w14:textId="77777777" w:rsidR="00E73BD8" w:rsidRDefault="00E73BD8" w:rsidP="00E73BD8">
      <w:pPr>
        <w:spacing w:after="0" w:line="259" w:lineRule="auto"/>
        <w:rPr>
          <w:rFonts w:eastAsiaTheme="minorEastAsia"/>
          <w:szCs w:val="20"/>
          <w:lang w:val="en-CA"/>
        </w:rPr>
      </w:pPr>
    </w:p>
    <w:p w14:paraId="44563A71" w14:textId="77777777" w:rsidR="00E73BD8" w:rsidRDefault="00E73BD8" w:rsidP="00E73BD8">
      <w:pPr>
        <w:spacing w:after="0" w:line="259" w:lineRule="auto"/>
        <w:rPr>
          <w:rFonts w:eastAsiaTheme="minorEastAsia"/>
          <w:szCs w:val="20"/>
          <w:lang w:val="en-CA"/>
        </w:rPr>
      </w:pPr>
      <w:r>
        <w:rPr>
          <w:rFonts w:eastAsiaTheme="minorEastAsia"/>
          <w:szCs w:val="20"/>
          <w:lang w:val="en-CA"/>
        </w:rPr>
        <w:t>Dr. Daniel Master</w:t>
      </w:r>
    </w:p>
    <w:p w14:paraId="3B0CC7EF" w14:textId="77777777" w:rsidR="00E73BD8" w:rsidRDefault="00E73BD8" w:rsidP="00E73BD8">
      <w:pPr>
        <w:spacing w:after="0" w:line="259" w:lineRule="auto"/>
        <w:rPr>
          <w:rFonts w:eastAsiaTheme="minorEastAsia"/>
          <w:szCs w:val="20"/>
          <w:lang w:val="en-CA"/>
        </w:rPr>
      </w:pPr>
    </w:p>
    <w:p w14:paraId="790C178C" w14:textId="61132816" w:rsidR="00E73BD8" w:rsidRDefault="00E73BD8" w:rsidP="00E73BD8">
      <w:pPr>
        <w:spacing w:after="0" w:line="259" w:lineRule="auto"/>
        <w:rPr>
          <w:rFonts w:eastAsiaTheme="minorEastAsia"/>
          <w:szCs w:val="20"/>
          <w:lang w:val="en-CA"/>
        </w:rPr>
      </w:pPr>
      <w:r>
        <w:rPr>
          <w:rFonts w:eastAsiaTheme="minorEastAsia"/>
          <w:szCs w:val="20"/>
          <w:lang w:val="en-CA"/>
        </w:rPr>
        <w:t>Check with Chris</w:t>
      </w:r>
    </w:p>
    <w:p w14:paraId="36F5C19D" w14:textId="0D1173EA" w:rsidR="003F7D74" w:rsidRDefault="003F7D74" w:rsidP="00E73BD8">
      <w:pPr>
        <w:spacing w:after="0" w:line="259" w:lineRule="auto"/>
        <w:rPr>
          <w:rFonts w:eastAsiaTheme="minorEastAsia"/>
          <w:szCs w:val="20"/>
          <w:lang w:val="en-CA"/>
        </w:rPr>
      </w:pPr>
    </w:p>
    <w:p w14:paraId="71987D3F" w14:textId="4BA3762A" w:rsidR="003F7D74" w:rsidRDefault="003F7D74" w:rsidP="00E73BD8">
      <w:pPr>
        <w:spacing w:after="0" w:line="259" w:lineRule="auto"/>
        <w:rPr>
          <w:rFonts w:eastAsiaTheme="minorEastAsia"/>
          <w:szCs w:val="20"/>
          <w:lang w:val="en-CA"/>
        </w:rPr>
      </w:pPr>
      <w:r>
        <w:rPr>
          <w:rFonts w:eastAsiaTheme="minorEastAsia"/>
          <w:szCs w:val="20"/>
          <w:lang w:val="en-CA"/>
        </w:rPr>
        <w:t>Others to be added:</w:t>
      </w:r>
    </w:p>
    <w:p w14:paraId="5FF05EC0" w14:textId="77777777" w:rsidR="00E73BD8" w:rsidRPr="0059317C" w:rsidRDefault="00E73BD8" w:rsidP="00E73BD8">
      <w:pPr>
        <w:spacing w:after="0" w:line="259" w:lineRule="auto"/>
        <w:rPr>
          <w:rFonts w:eastAsiaTheme="minorEastAsia"/>
          <w:szCs w:val="20"/>
          <w:lang w:val="en-CA"/>
        </w:rPr>
      </w:pPr>
    </w:p>
    <w:p w14:paraId="7FDC1176" w14:textId="77777777" w:rsidR="006105CF" w:rsidRDefault="006105CF" w:rsidP="005125F6">
      <w:pPr>
        <w:widowControl w:val="0"/>
        <w:autoSpaceDE w:val="0"/>
        <w:autoSpaceDN w:val="0"/>
        <w:adjustRightInd w:val="0"/>
        <w:spacing w:after="0" w:line="240" w:lineRule="auto"/>
        <w:rPr>
          <w:rFonts w:eastAsiaTheme="minorEastAsia"/>
          <w:szCs w:val="20"/>
          <w:lang w:val="en-US"/>
        </w:rPr>
      </w:pPr>
    </w:p>
    <w:p w14:paraId="100605DD" w14:textId="77777777" w:rsidR="004C2B27" w:rsidRPr="0059317C" w:rsidRDefault="004C2B27">
      <w:pPr>
        <w:spacing w:line="259" w:lineRule="auto"/>
        <w:rPr>
          <w:rFonts w:eastAsiaTheme="minorEastAsia"/>
          <w:b/>
          <w:szCs w:val="24"/>
          <w:lang w:val="en-US"/>
        </w:rPr>
      </w:pPr>
    </w:p>
    <w:p w14:paraId="521BA994" w14:textId="77777777" w:rsidR="00812CF6" w:rsidRPr="0059317C" w:rsidRDefault="00812CF6">
      <w:pPr>
        <w:spacing w:line="259" w:lineRule="auto"/>
        <w:rPr>
          <w:rFonts w:eastAsiaTheme="minorEastAsia"/>
          <w:b/>
          <w:szCs w:val="24"/>
          <w:lang w:val="en-US"/>
        </w:rPr>
      </w:pPr>
      <w:r w:rsidRPr="0059317C">
        <w:rPr>
          <w:rFonts w:eastAsiaTheme="minorEastAsia"/>
          <w:b/>
          <w:szCs w:val="24"/>
          <w:lang w:val="en-US"/>
        </w:rPr>
        <w:br w:type="page"/>
      </w:r>
    </w:p>
    <w:p w14:paraId="0A4578BF" w14:textId="77777777" w:rsidR="003317AE" w:rsidRPr="003317AE" w:rsidRDefault="003317AE" w:rsidP="003317AE">
      <w:pPr>
        <w:tabs>
          <w:tab w:val="left" w:pos="900"/>
        </w:tabs>
        <w:spacing w:after="0" w:line="240" w:lineRule="auto"/>
        <w:jc w:val="center"/>
        <w:rPr>
          <w:rFonts w:eastAsiaTheme="minorHAnsi"/>
          <w:b/>
          <w:lang w:val="en-US"/>
        </w:rPr>
      </w:pPr>
      <w:r w:rsidRPr="003317AE">
        <w:rPr>
          <w:rFonts w:eastAsiaTheme="minorHAnsi"/>
          <w:b/>
          <w:lang w:val="en-US"/>
        </w:rPr>
        <w:lastRenderedPageBreak/>
        <w:t>Addendum</w:t>
      </w:r>
    </w:p>
    <w:p w14:paraId="2635F308" w14:textId="77777777" w:rsidR="003317AE" w:rsidRPr="003317AE" w:rsidRDefault="003317AE" w:rsidP="003317AE">
      <w:pPr>
        <w:tabs>
          <w:tab w:val="left" w:pos="900"/>
        </w:tabs>
        <w:spacing w:after="0" w:line="240" w:lineRule="auto"/>
        <w:jc w:val="center"/>
        <w:rPr>
          <w:rFonts w:eastAsiaTheme="minorHAnsi"/>
          <w:b/>
          <w:lang w:val="en-US"/>
        </w:rPr>
      </w:pPr>
      <w:r w:rsidRPr="003317AE">
        <w:rPr>
          <w:rFonts w:eastAsiaTheme="minorHAnsi"/>
          <w:b/>
          <w:lang w:val="en-US"/>
        </w:rPr>
        <w:t>Assessment of the Petrographic, Geochemical, Geological, and Statistical Methodologies Used by Yuval Goren and His Colleagues</w:t>
      </w:r>
    </w:p>
    <w:p w14:paraId="7EB943DB" w14:textId="77777777" w:rsidR="003317AE" w:rsidRPr="003317AE" w:rsidRDefault="003317AE" w:rsidP="003317AE">
      <w:pPr>
        <w:tabs>
          <w:tab w:val="left" w:pos="900"/>
        </w:tabs>
        <w:spacing w:after="0" w:line="240" w:lineRule="auto"/>
        <w:jc w:val="center"/>
        <w:rPr>
          <w:rFonts w:eastAsiaTheme="minorHAnsi"/>
          <w:b/>
          <w:lang w:val="en-US"/>
        </w:rPr>
      </w:pPr>
    </w:p>
    <w:p w14:paraId="246D337A" w14:textId="77777777" w:rsidR="003317AE" w:rsidRPr="003317AE" w:rsidRDefault="003317AE" w:rsidP="003317AE">
      <w:pPr>
        <w:tabs>
          <w:tab w:val="left" w:pos="900"/>
        </w:tabs>
        <w:spacing w:after="0" w:line="240" w:lineRule="auto"/>
        <w:jc w:val="center"/>
        <w:rPr>
          <w:rFonts w:eastAsiaTheme="minorHAnsi"/>
          <w:b/>
          <w:lang w:val="en-US"/>
        </w:rPr>
      </w:pPr>
      <w:r w:rsidRPr="003317AE">
        <w:rPr>
          <w:rFonts w:eastAsiaTheme="minorHAnsi"/>
          <w:b/>
          <w:lang w:val="en-US"/>
        </w:rPr>
        <w:t>Dr. Christopher Wnuk</w:t>
      </w:r>
    </w:p>
    <w:p w14:paraId="0C5CA02C" w14:textId="77777777" w:rsidR="003317AE" w:rsidRPr="003317AE" w:rsidRDefault="003317AE" w:rsidP="003317AE">
      <w:pPr>
        <w:spacing w:after="200" w:line="240" w:lineRule="auto"/>
        <w:jc w:val="center"/>
        <w:rPr>
          <w:rFonts w:eastAsiaTheme="minorHAnsi"/>
          <w:szCs w:val="24"/>
          <w:lang w:val="en-US"/>
        </w:rPr>
      </w:pPr>
      <w:r w:rsidRPr="003317AE">
        <w:rPr>
          <w:rFonts w:eastAsiaTheme="minorHAnsi"/>
          <w:szCs w:val="24"/>
          <w:lang w:val="en-US"/>
        </w:rPr>
        <w:t>Chief Geologist, Transformation Advisors Group</w:t>
      </w:r>
    </w:p>
    <w:p w14:paraId="58796B16" w14:textId="77777777" w:rsidR="003317AE" w:rsidRPr="003317AE" w:rsidRDefault="003317AE" w:rsidP="003317AE">
      <w:pPr>
        <w:spacing w:after="200" w:line="240" w:lineRule="auto"/>
        <w:rPr>
          <w:rFonts w:eastAsiaTheme="minorHAnsi"/>
          <w:szCs w:val="24"/>
          <w:lang w:val="en-US"/>
        </w:rPr>
      </w:pPr>
      <w:r w:rsidRPr="003317AE">
        <w:rPr>
          <w:rFonts w:eastAsiaTheme="minorHAnsi"/>
          <w:szCs w:val="24"/>
          <w:lang w:val="en-US"/>
        </w:rPr>
        <w:t>The following critique</w:t>
      </w:r>
      <w:r w:rsidRPr="003317AE">
        <w:rPr>
          <w:rFonts w:asciiTheme="minorHAnsi" w:eastAsiaTheme="minorHAnsi" w:hAnsiTheme="minorHAnsi" w:cstheme="minorBidi"/>
          <w:szCs w:val="24"/>
          <w:lang w:val="en-US"/>
        </w:rPr>
        <w:t xml:space="preserve"> </w:t>
      </w:r>
      <w:r w:rsidRPr="003317AE">
        <w:rPr>
          <w:rFonts w:eastAsiaTheme="minorHAnsi"/>
          <w:szCs w:val="24"/>
          <w:lang w:val="en-US"/>
        </w:rPr>
        <w:t>of the geologic, petrographic and geochemical methodology of Yuval Goren and his colleagues is based on the following articles:</w:t>
      </w:r>
    </w:p>
    <w:p w14:paraId="450E0030" w14:textId="77777777" w:rsidR="003317AE" w:rsidRPr="003317AE" w:rsidRDefault="003317AE" w:rsidP="003317AE">
      <w:pPr>
        <w:numPr>
          <w:ilvl w:val="0"/>
          <w:numId w:val="8"/>
        </w:numPr>
        <w:tabs>
          <w:tab w:val="left" w:pos="900"/>
        </w:tabs>
        <w:spacing w:after="0" w:line="240" w:lineRule="auto"/>
        <w:contextualSpacing/>
        <w:rPr>
          <w:rFonts w:eastAsiaTheme="minorHAnsi"/>
          <w:lang w:val="en-US"/>
        </w:rPr>
      </w:pPr>
      <w:bookmarkStart w:id="82" w:name="_Hlk5859289"/>
      <w:r w:rsidRPr="003317AE">
        <w:rPr>
          <w:rFonts w:eastAsiaTheme="minorHAnsi"/>
          <w:lang w:val="en-US"/>
        </w:rPr>
        <w:t>Cohen-Weinberger, A., and Goren</w:t>
      </w:r>
      <w:bookmarkEnd w:id="82"/>
      <w:r w:rsidRPr="003317AE">
        <w:rPr>
          <w:rFonts w:eastAsiaTheme="minorHAnsi"/>
          <w:lang w:val="en-US"/>
        </w:rPr>
        <w:t xml:space="preserve">, Y., 2004, Levantine-Egyptian interactions during the 12th to the 15th dynasties based on the petrography of the Canaanite pottery from Tell el-Dabʿa: Austrian Academy of Sciences Press, </w:t>
      </w:r>
      <w:r w:rsidRPr="003317AE">
        <w:rPr>
          <w:rFonts w:eastAsiaTheme="minorHAnsi"/>
          <w:i/>
          <w:lang w:val="en-US"/>
        </w:rPr>
        <w:t>Ägypten und Levante</w:t>
      </w:r>
      <w:r w:rsidRPr="003317AE">
        <w:rPr>
          <w:rFonts w:eastAsiaTheme="minorHAnsi"/>
          <w:lang w:val="en-US"/>
        </w:rPr>
        <w:t xml:space="preserve"> (</w:t>
      </w:r>
      <w:r w:rsidRPr="003317AE">
        <w:rPr>
          <w:rFonts w:eastAsiaTheme="minorHAnsi"/>
          <w:i/>
          <w:lang w:val="en-US"/>
        </w:rPr>
        <w:t>Egypt and the Levant</w:t>
      </w:r>
      <w:r w:rsidRPr="003317AE">
        <w:rPr>
          <w:rFonts w:eastAsiaTheme="minorHAnsi"/>
          <w:lang w:val="en-US"/>
        </w:rPr>
        <w:t>), v. 14, p. 69-100.</w:t>
      </w:r>
    </w:p>
    <w:p w14:paraId="4529F912" w14:textId="40777240" w:rsidR="003317AE" w:rsidRPr="003317AE" w:rsidRDefault="003317AE" w:rsidP="003317AE">
      <w:pPr>
        <w:numPr>
          <w:ilvl w:val="0"/>
          <w:numId w:val="8"/>
        </w:numPr>
        <w:tabs>
          <w:tab w:val="left" w:pos="900"/>
        </w:tabs>
        <w:spacing w:after="0" w:line="240" w:lineRule="auto"/>
        <w:contextualSpacing/>
        <w:rPr>
          <w:rFonts w:eastAsiaTheme="minorHAnsi"/>
          <w:lang w:val="en-US"/>
        </w:rPr>
      </w:pPr>
      <w:r w:rsidRPr="003317AE">
        <w:rPr>
          <w:rFonts w:eastAsiaTheme="minorHAnsi"/>
          <w:lang w:val="en-US"/>
        </w:rPr>
        <w:t xml:space="preserve">Goren, Y., 1996, The southern Levant in the Early Bronze Age IV: The petrographic perspective: </w:t>
      </w:r>
      <w:r w:rsidRPr="003317AE">
        <w:rPr>
          <w:rFonts w:eastAsiaTheme="minorHAnsi"/>
          <w:i/>
          <w:lang w:val="en-US"/>
        </w:rPr>
        <w:t>Bulletin of the American Schools of Oriental Research</w:t>
      </w:r>
      <w:r w:rsidRPr="003317AE">
        <w:rPr>
          <w:rFonts w:eastAsiaTheme="minorHAnsi"/>
          <w:lang w:val="en-US"/>
        </w:rPr>
        <w:t xml:space="preserve">, v. 303, p. 33-72. </w:t>
      </w:r>
      <w:hyperlink r:id="rId13" w:history="1">
        <w:r w:rsidR="00A67AE5" w:rsidRPr="00DF52CB">
          <w:rPr>
            <w:rStyle w:val="Hyperlink"/>
            <w:rFonts w:eastAsiaTheme="minorHAnsi"/>
            <w:lang w:val="en-US"/>
          </w:rPr>
          <w:t>https://doi.org/10.2307/1357469</w:t>
        </w:r>
      </w:hyperlink>
      <w:r w:rsidR="00A67AE5">
        <w:rPr>
          <w:rFonts w:eastAsiaTheme="minorHAnsi"/>
          <w:lang w:val="en-US"/>
        </w:rPr>
        <w:t xml:space="preserve">.  </w:t>
      </w:r>
    </w:p>
    <w:p w14:paraId="7644F3E3" w14:textId="77777777" w:rsidR="003317AE" w:rsidRPr="003317AE" w:rsidRDefault="003317AE" w:rsidP="003317AE">
      <w:pPr>
        <w:numPr>
          <w:ilvl w:val="0"/>
          <w:numId w:val="8"/>
        </w:numPr>
        <w:tabs>
          <w:tab w:val="left" w:pos="900"/>
        </w:tabs>
        <w:spacing w:after="0" w:line="240" w:lineRule="auto"/>
        <w:contextualSpacing/>
        <w:rPr>
          <w:rFonts w:eastAsiaTheme="minorHAnsi"/>
          <w:lang w:val="en-US"/>
        </w:rPr>
      </w:pPr>
      <w:r w:rsidRPr="003317AE">
        <w:rPr>
          <w:rFonts w:eastAsiaTheme="minorEastAsia"/>
          <w:szCs w:val="24"/>
          <w:lang w:val="en-US"/>
        </w:rPr>
        <w:t xml:space="preserve">Goren, Y., Bunimovitz, S., Finkelstein, I., and Na'aman, N., 2003, The Location of Alashiya: New Evidence from petrographic investigation of Alashiyan tablets from el-Amarna and Ugarit: </w:t>
      </w:r>
      <w:r w:rsidRPr="003317AE">
        <w:rPr>
          <w:rFonts w:eastAsiaTheme="minorEastAsia"/>
          <w:i/>
          <w:szCs w:val="24"/>
          <w:lang w:val="en-US"/>
        </w:rPr>
        <w:t>American Journal of Archaeology</w:t>
      </w:r>
      <w:r w:rsidRPr="003317AE">
        <w:rPr>
          <w:rFonts w:eastAsiaTheme="minorEastAsia"/>
          <w:szCs w:val="24"/>
          <w:lang w:val="en-US"/>
        </w:rPr>
        <w:t>, v. 107, p. 233-255.</w:t>
      </w:r>
    </w:p>
    <w:p w14:paraId="4E4D4F30" w14:textId="77777777" w:rsidR="003317AE" w:rsidRPr="003317AE" w:rsidRDefault="003317AE" w:rsidP="003317AE">
      <w:pPr>
        <w:numPr>
          <w:ilvl w:val="0"/>
          <w:numId w:val="8"/>
        </w:numPr>
        <w:tabs>
          <w:tab w:val="left" w:pos="900"/>
        </w:tabs>
        <w:spacing w:after="0" w:line="240" w:lineRule="auto"/>
        <w:contextualSpacing/>
        <w:rPr>
          <w:rFonts w:eastAsiaTheme="minorHAnsi"/>
          <w:lang w:val="en-US"/>
        </w:rPr>
      </w:pPr>
      <w:r w:rsidRPr="003317AE">
        <w:rPr>
          <w:rFonts w:eastAsiaTheme="minorHAnsi"/>
          <w:lang w:val="en-US"/>
        </w:rPr>
        <w:t xml:space="preserve">Goren, Y., Finkelstein, I., and Na’aman, N., 2004, </w:t>
      </w:r>
      <w:r w:rsidRPr="003317AE">
        <w:rPr>
          <w:rFonts w:eastAsiaTheme="minorHAnsi"/>
          <w:i/>
          <w:lang w:val="en-US"/>
        </w:rPr>
        <w:t>Inscribed in clay: provenance study of the Amarna tablets and other ancient Near Eastern texts</w:t>
      </w:r>
      <w:r w:rsidRPr="003317AE">
        <w:rPr>
          <w:rFonts w:eastAsiaTheme="minorHAnsi"/>
          <w:lang w:val="en-US"/>
        </w:rPr>
        <w:t>: Tel Aviv University, Sonia and Marco Nadler Institute of Archaeology, Monograph Series Number 23, 407 p.</w:t>
      </w:r>
    </w:p>
    <w:p w14:paraId="06E3CADE" w14:textId="77777777" w:rsidR="003317AE" w:rsidRPr="003317AE" w:rsidRDefault="003317AE" w:rsidP="003317AE">
      <w:pPr>
        <w:numPr>
          <w:ilvl w:val="0"/>
          <w:numId w:val="8"/>
        </w:numPr>
        <w:tabs>
          <w:tab w:val="left" w:pos="900"/>
        </w:tabs>
        <w:spacing w:after="0" w:line="240" w:lineRule="auto"/>
        <w:contextualSpacing/>
        <w:rPr>
          <w:rFonts w:eastAsiaTheme="minorHAnsi"/>
          <w:lang w:val="en-US"/>
        </w:rPr>
      </w:pPr>
      <w:r w:rsidRPr="003317AE">
        <w:rPr>
          <w:rFonts w:eastAsiaTheme="minorHAnsi"/>
        </w:rPr>
        <w:t xml:space="preserve">N. Porat and Y. Goren, Petrography of the Naqada IIIa Canaanite pottery from Tomb U-j in Abydos, pp. 466-481 in </w:t>
      </w:r>
      <w:r w:rsidRPr="003317AE">
        <w:rPr>
          <w:rFonts w:eastAsiaTheme="minorHAnsi"/>
          <w:i/>
        </w:rPr>
        <w:t xml:space="preserve">Umm el-Qaab II: Importkeramik aus dem Friedhof U in Abydos (Umm el-Qaab) und die Beziehungen ägyptens zu Vorderasien im 4. Jahrtausend v. Chr. </w:t>
      </w:r>
      <w:r w:rsidRPr="003317AE">
        <w:rPr>
          <w:rFonts w:eastAsiaTheme="minorHAnsi"/>
        </w:rPr>
        <w:t xml:space="preserve">by U. Hartung, </w:t>
      </w:r>
      <w:r w:rsidRPr="003317AE">
        <w:rPr>
          <w:rFonts w:eastAsiaTheme="minorHAnsi"/>
          <w:lang w:val="en-US"/>
        </w:rPr>
        <w:t>German Institute of Archaeology at Cairo Archaeological Publications 93</w:t>
      </w:r>
      <w:r w:rsidRPr="003317AE">
        <w:rPr>
          <w:rFonts w:eastAsiaTheme="minorHAnsi"/>
        </w:rPr>
        <w:t xml:space="preserve">, Mainz: P. von Zabern, 2001; </w:t>
      </w:r>
      <w:r w:rsidRPr="003317AE">
        <w:rPr>
          <w:rFonts w:eastAsiaTheme="minorHAnsi"/>
          <w:i/>
        </w:rPr>
        <w:t>idem</w:t>
      </w:r>
      <w:r w:rsidRPr="003317AE">
        <w:rPr>
          <w:rFonts w:eastAsiaTheme="minorHAnsi"/>
        </w:rPr>
        <w:t xml:space="preserve">, Petrography of the Naqada IIIa Canaanite Pottery from Tomb U-j in Abydos, pp. 252-270 in </w:t>
      </w:r>
      <w:r w:rsidRPr="003317AE">
        <w:rPr>
          <w:rFonts w:eastAsiaTheme="minorHAnsi"/>
          <w:i/>
        </w:rPr>
        <w:t>Egypt and the Levant: Interrelations from the 4</w:t>
      </w:r>
      <w:r w:rsidRPr="003317AE">
        <w:rPr>
          <w:rFonts w:eastAsiaTheme="minorHAnsi"/>
          <w:i/>
          <w:vertAlign w:val="superscript"/>
        </w:rPr>
        <w:t>th</w:t>
      </w:r>
      <w:r w:rsidRPr="003317AE">
        <w:rPr>
          <w:rFonts w:eastAsiaTheme="minorHAnsi"/>
          <w:i/>
        </w:rPr>
        <w:t xml:space="preserve"> through the Early 3</w:t>
      </w:r>
      <w:r w:rsidRPr="003317AE">
        <w:rPr>
          <w:rFonts w:eastAsiaTheme="minorHAnsi"/>
          <w:i/>
          <w:vertAlign w:val="superscript"/>
        </w:rPr>
        <w:t>rd</w:t>
      </w:r>
      <w:r w:rsidRPr="003317AE">
        <w:rPr>
          <w:rFonts w:eastAsiaTheme="minorHAnsi"/>
          <w:i/>
        </w:rPr>
        <w:t xml:space="preserve"> Millennium B.C.E.</w:t>
      </w:r>
      <w:r w:rsidRPr="003317AE">
        <w:rPr>
          <w:rFonts w:eastAsiaTheme="minorHAnsi"/>
        </w:rPr>
        <w:t>, eds. E. C. M. van den Brink and T. E. Levy, London and New York: Bloomsbury T&amp;T Clark, 2001.</w:t>
      </w:r>
    </w:p>
    <w:p w14:paraId="1A4DDB41" w14:textId="7DCD0AF9" w:rsidR="003317AE" w:rsidRPr="00642BC4" w:rsidRDefault="003317AE" w:rsidP="00D52718">
      <w:pPr>
        <w:numPr>
          <w:ilvl w:val="0"/>
          <w:numId w:val="8"/>
        </w:numPr>
        <w:tabs>
          <w:tab w:val="left" w:pos="900"/>
        </w:tabs>
        <w:spacing w:after="0" w:line="240" w:lineRule="auto"/>
        <w:contextualSpacing/>
        <w:rPr>
          <w:rFonts w:eastAsiaTheme="minorHAnsi"/>
          <w:lang w:val="en-US"/>
        </w:rPr>
      </w:pPr>
      <w:r w:rsidRPr="003317AE">
        <w:rPr>
          <w:rFonts w:eastAsiaTheme="minorHAnsi"/>
          <w:lang w:val="en-US"/>
        </w:rPr>
        <w:lastRenderedPageBreak/>
        <w:t xml:space="preserve">Goren, Y., Mommsen, H., and Klinger, J., 2011, Non-destructive provenance study of cuneiform tablets using portable X-ray fluorescence (pXRF): </w:t>
      </w:r>
      <w:r w:rsidRPr="003317AE">
        <w:rPr>
          <w:rFonts w:eastAsiaTheme="minorHAnsi"/>
          <w:i/>
          <w:lang w:val="en-US"/>
        </w:rPr>
        <w:t>Journal of Archaeological Science</w:t>
      </w:r>
      <w:r w:rsidRPr="003317AE">
        <w:rPr>
          <w:rFonts w:eastAsiaTheme="minorHAnsi"/>
          <w:lang w:val="en-US"/>
        </w:rPr>
        <w:t>, v. 38, p. 684-696.</w:t>
      </w:r>
    </w:p>
    <w:p w14:paraId="4FC16D86" w14:textId="3AE6F6E8" w:rsidR="003317AE" w:rsidRDefault="003317AE" w:rsidP="003317AE">
      <w:pPr>
        <w:tabs>
          <w:tab w:val="left" w:pos="900"/>
        </w:tabs>
        <w:spacing w:after="0" w:line="240" w:lineRule="auto"/>
        <w:contextualSpacing/>
        <w:rPr>
          <w:rFonts w:eastAsiaTheme="minorHAnsi"/>
          <w:lang w:val="en-US"/>
        </w:rPr>
      </w:pPr>
    </w:p>
    <w:p w14:paraId="4A9392E8" w14:textId="77777777" w:rsidR="003317AE" w:rsidRPr="003317AE" w:rsidRDefault="003317AE" w:rsidP="003317AE">
      <w:pPr>
        <w:tabs>
          <w:tab w:val="left" w:pos="900"/>
        </w:tabs>
        <w:spacing w:after="0" w:line="240" w:lineRule="auto"/>
        <w:contextualSpacing/>
        <w:rPr>
          <w:rFonts w:eastAsiaTheme="minorHAnsi"/>
          <w:lang w:val="en-US"/>
        </w:rPr>
      </w:pPr>
      <w:r w:rsidRPr="003317AE">
        <w:rPr>
          <w:rFonts w:eastAsiaTheme="minorHAnsi"/>
          <w:lang w:val="en-US"/>
        </w:rPr>
        <w:t>The</w:t>
      </w:r>
      <w:r w:rsidRPr="003317AE">
        <w:rPr>
          <w:rFonts w:asciiTheme="minorHAnsi" w:eastAsiaTheme="minorHAnsi" w:hAnsiTheme="minorHAnsi" w:cstheme="minorBidi"/>
          <w:sz w:val="22"/>
          <w:lang w:val="en-US"/>
        </w:rPr>
        <w:t xml:space="preserve"> </w:t>
      </w:r>
      <w:r w:rsidRPr="003317AE">
        <w:rPr>
          <w:rFonts w:eastAsiaTheme="minorHAnsi"/>
          <w:lang w:val="en-US"/>
        </w:rPr>
        <w:t>geological, petrological, and geochemical tools that are used by Goren and his coworkers have been used by geologists for more than 200 years.</w:t>
      </w:r>
      <w:r w:rsidRPr="003317AE">
        <w:rPr>
          <w:rFonts w:eastAsiaTheme="minorHAnsi"/>
          <w:vertAlign w:val="superscript"/>
          <w:lang w:val="en-US"/>
        </w:rPr>
        <w:footnoteReference w:id="48"/>
      </w:r>
      <w:r w:rsidRPr="003317AE">
        <w:rPr>
          <w:rFonts w:eastAsiaTheme="minorHAnsi"/>
          <w:lang w:val="en-US"/>
        </w:rPr>
        <w:t xml:space="preserve"> Geologists started using these tools to study rock provenance as soon as or shortly after they became available. As a result, the capabilities and limitations of these instruments and procedures are well understood, and instances of their misapplication to problem analysis well documented. There now exists an enormous body of literature that defines standard procedures for using these tools to collect meaningful data. These procedures are based on testing, retesting, and independently cross-comparing analytical outcomes. </w:t>
      </w:r>
    </w:p>
    <w:p w14:paraId="1A77B755" w14:textId="77777777" w:rsidR="003317AE" w:rsidRPr="003317AE" w:rsidRDefault="003317AE" w:rsidP="003317AE">
      <w:pPr>
        <w:tabs>
          <w:tab w:val="left" w:pos="900"/>
        </w:tabs>
        <w:spacing w:after="0" w:line="240" w:lineRule="auto"/>
        <w:contextualSpacing/>
        <w:rPr>
          <w:rFonts w:eastAsiaTheme="minorHAnsi"/>
          <w:lang w:val="en-US"/>
        </w:rPr>
      </w:pPr>
    </w:p>
    <w:p w14:paraId="7DC104AD" w14:textId="5E47C8CD" w:rsidR="003317AE" w:rsidRPr="003317AE" w:rsidRDefault="003317AE" w:rsidP="003317AE">
      <w:pPr>
        <w:tabs>
          <w:tab w:val="left" w:pos="900"/>
        </w:tabs>
        <w:spacing w:after="0" w:line="240" w:lineRule="auto"/>
        <w:contextualSpacing/>
        <w:rPr>
          <w:rFonts w:eastAsiaTheme="minorHAnsi"/>
          <w:lang w:val="en-US"/>
        </w:rPr>
      </w:pPr>
      <w:r w:rsidRPr="003317AE">
        <w:rPr>
          <w:rFonts w:eastAsiaTheme="minorHAnsi"/>
          <w:lang w:val="en-US"/>
        </w:rPr>
        <w:t>Based on a review of their analytical methodologies as published in their reports and book, Goren and his coworkers would appear to be unaware of these standard procedures. Consequently, many of the analytical results upon which they make their archaeological interpretations are highly suspect. This circumstance, in turn, impacts the validity of the conclusions drawn from the analytical results for collecting and analyzing petrographic and chemical data for assessing the provenances of pottery samples from Middle Bronze (MB) Age Tell el-Dab`a, Early Bronze (EB) Age IV in the southern Levant, and the EB IB tomb U-j (of Scorpion I) at Abydos in Egypt, as well as the L</w:t>
      </w:r>
      <w:r w:rsidR="00405B39">
        <w:rPr>
          <w:rFonts w:eastAsiaTheme="minorHAnsi"/>
          <w:lang w:val="en-US"/>
        </w:rPr>
        <w:t xml:space="preserve">BA </w:t>
      </w:r>
      <w:r w:rsidRPr="003317AE">
        <w:rPr>
          <w:rFonts w:eastAsiaTheme="minorHAnsi"/>
          <w:lang w:val="en-US"/>
        </w:rPr>
        <w:t>Amarna tablets between rulers of Egypt, the Near East, Anatolia, and Cyprus.</w:t>
      </w:r>
    </w:p>
    <w:p w14:paraId="70DD6804" w14:textId="77777777" w:rsidR="003317AE" w:rsidRPr="003317AE" w:rsidRDefault="003317AE" w:rsidP="003317AE">
      <w:pPr>
        <w:tabs>
          <w:tab w:val="left" w:pos="900"/>
        </w:tabs>
        <w:spacing w:after="0" w:line="240" w:lineRule="auto"/>
        <w:contextualSpacing/>
        <w:rPr>
          <w:rFonts w:eastAsiaTheme="minorHAnsi"/>
          <w:lang w:val="en-US"/>
        </w:rPr>
      </w:pPr>
    </w:p>
    <w:p w14:paraId="78EC555D" w14:textId="77777777" w:rsidR="003317AE" w:rsidRPr="003317AE" w:rsidRDefault="003317AE" w:rsidP="003317AE">
      <w:pPr>
        <w:tabs>
          <w:tab w:val="left" w:pos="900"/>
        </w:tabs>
        <w:spacing w:after="0" w:line="240" w:lineRule="auto"/>
        <w:contextualSpacing/>
        <w:rPr>
          <w:rFonts w:eastAsiaTheme="minorHAnsi"/>
          <w:lang w:val="en-US"/>
        </w:rPr>
      </w:pPr>
      <w:r w:rsidRPr="003317AE">
        <w:rPr>
          <w:rFonts w:eastAsiaTheme="minorHAnsi"/>
          <w:lang w:val="en-US"/>
        </w:rPr>
        <w:t xml:space="preserve">The one over-riding problem with all these analyses is that the authors clearly do not understand how critical proper sample size is to the validity of an analysis. They concede that their samples are too small, but then go on to ignore this issue as if it has no real consequences. They seem quite comfortable in ignoring the extraordinary bias they have introduced into their entire analysis and ignore the possibility that many of their conclusions are unsupportable because they are studying unrepresentative samples. </w:t>
      </w:r>
    </w:p>
    <w:p w14:paraId="1D93D0FD" w14:textId="77777777" w:rsidR="003317AE" w:rsidRPr="003317AE" w:rsidRDefault="003317AE" w:rsidP="003317AE">
      <w:pPr>
        <w:tabs>
          <w:tab w:val="left" w:pos="900"/>
        </w:tabs>
        <w:spacing w:after="0" w:line="240" w:lineRule="auto"/>
        <w:contextualSpacing/>
        <w:rPr>
          <w:rFonts w:eastAsiaTheme="minorHAnsi"/>
          <w:lang w:val="en-US"/>
        </w:rPr>
      </w:pPr>
    </w:p>
    <w:p w14:paraId="4AC54BA8" w14:textId="77777777" w:rsidR="003317AE" w:rsidRPr="003317AE" w:rsidRDefault="003317AE" w:rsidP="003317AE">
      <w:pPr>
        <w:tabs>
          <w:tab w:val="left" w:pos="900"/>
        </w:tabs>
        <w:spacing w:after="0" w:line="240" w:lineRule="auto"/>
        <w:contextualSpacing/>
        <w:rPr>
          <w:rFonts w:eastAsiaTheme="minorHAnsi"/>
          <w:lang w:val="en-US"/>
        </w:rPr>
      </w:pPr>
      <w:r w:rsidRPr="003317AE">
        <w:rPr>
          <w:rFonts w:eastAsiaTheme="minorHAnsi"/>
          <w:lang w:val="en-US"/>
        </w:rPr>
        <w:lastRenderedPageBreak/>
        <w:t>In general, the methodology of the analyses is disorganized, so much so that this reader had difficulty in determining which tests and analyses the authors were using to collect and assess the significance of their data, or to determine which assumptions Goren and his colleagues were making during their analyses. Further complicating any assessment was the fact that these authors consistently and incorrectly use technical terms that strongly create the impression that they don’t understand the science behind their technical analyses and therefore, that they are misinterpreting their results. Their constant misuse of technical terminology leaves the reader confused and spending additional time trying to determine if the authors are simply careless using words or if they truly do not understand the concepts behind the words. Misused terminology is so commonplace, the latter interpretation seems to be the more likely.</w:t>
      </w:r>
    </w:p>
    <w:p w14:paraId="0DF44C64" w14:textId="77777777" w:rsidR="003317AE" w:rsidRPr="003317AE" w:rsidRDefault="003317AE" w:rsidP="003317AE">
      <w:pPr>
        <w:tabs>
          <w:tab w:val="left" w:pos="900"/>
        </w:tabs>
        <w:spacing w:after="0" w:line="240" w:lineRule="auto"/>
        <w:contextualSpacing/>
        <w:rPr>
          <w:rFonts w:eastAsiaTheme="minorHAnsi"/>
          <w:lang w:val="en-US"/>
        </w:rPr>
      </w:pPr>
    </w:p>
    <w:p w14:paraId="7023626E" w14:textId="77777777" w:rsidR="003317AE" w:rsidRPr="003317AE" w:rsidRDefault="003317AE" w:rsidP="003317AE">
      <w:pPr>
        <w:tabs>
          <w:tab w:val="left" w:pos="900"/>
        </w:tabs>
        <w:spacing w:after="0" w:line="240" w:lineRule="auto"/>
        <w:contextualSpacing/>
        <w:rPr>
          <w:rFonts w:eastAsiaTheme="minorHAnsi"/>
          <w:lang w:val="en-US"/>
        </w:rPr>
      </w:pPr>
      <w:r w:rsidRPr="003317AE">
        <w:rPr>
          <w:rFonts w:eastAsiaTheme="minorHAnsi"/>
          <w:lang w:val="en-US"/>
        </w:rPr>
        <w:t>In the sections which follow, the problems with the methodologies as used in the above cited studies will be reviewed. Procedural inadequacies will be discussed, and explanations will be provided showing why Goren and his coworkers are using flawed approaches for their provenance studies. The assessment is largely based on the interrelated studies that were published in 2004, viz., the Cohen-Weinberger and Goren paper on the petrography of pottery sherds from Tell el-Daba, and the book on the provenance of the Amarna tablets. Related and highly relevant comments, bearing on the conclusions of the 2004 studies, are also made to earlier and later studies.</w:t>
      </w:r>
    </w:p>
    <w:p w14:paraId="18840874" w14:textId="77777777" w:rsidR="003317AE" w:rsidRPr="003317AE" w:rsidRDefault="003317AE" w:rsidP="003317AE">
      <w:pPr>
        <w:tabs>
          <w:tab w:val="left" w:pos="900"/>
        </w:tabs>
        <w:spacing w:after="0" w:line="240" w:lineRule="auto"/>
        <w:contextualSpacing/>
        <w:rPr>
          <w:rFonts w:eastAsiaTheme="minorHAnsi"/>
          <w:lang w:val="en-US"/>
        </w:rPr>
      </w:pPr>
      <w:r w:rsidRPr="003317AE">
        <w:rPr>
          <w:rFonts w:eastAsiaTheme="minorHAnsi"/>
          <w:lang w:val="en-US"/>
        </w:rPr>
        <w:t xml:space="preserve"> </w:t>
      </w:r>
    </w:p>
    <w:p w14:paraId="1C451299" w14:textId="77777777" w:rsidR="003317AE" w:rsidRPr="003317AE" w:rsidRDefault="003317AE" w:rsidP="003317AE">
      <w:pPr>
        <w:spacing w:line="259" w:lineRule="auto"/>
        <w:rPr>
          <w:rFonts w:eastAsiaTheme="minorHAnsi"/>
          <w:b/>
          <w:lang w:val="en-US"/>
        </w:rPr>
      </w:pPr>
      <w:r w:rsidRPr="003317AE">
        <w:rPr>
          <w:rFonts w:eastAsiaTheme="minorHAnsi"/>
          <w:b/>
          <w:lang w:val="en-US"/>
        </w:rPr>
        <w:br w:type="page"/>
      </w:r>
    </w:p>
    <w:p w14:paraId="20E743DC" w14:textId="77777777" w:rsidR="003317AE" w:rsidRPr="003317AE" w:rsidRDefault="003317AE" w:rsidP="003317AE">
      <w:pPr>
        <w:tabs>
          <w:tab w:val="left" w:pos="900"/>
        </w:tabs>
        <w:spacing w:after="0" w:line="240" w:lineRule="auto"/>
        <w:rPr>
          <w:rFonts w:eastAsiaTheme="minorHAnsi"/>
          <w:b/>
          <w:lang w:val="en-US"/>
        </w:rPr>
      </w:pPr>
      <w:r w:rsidRPr="003317AE">
        <w:rPr>
          <w:rFonts w:eastAsiaTheme="minorHAnsi"/>
          <w:b/>
          <w:lang w:val="en-US"/>
        </w:rPr>
        <w:lastRenderedPageBreak/>
        <w:t>Sampling for Petrographic Analysis</w:t>
      </w:r>
    </w:p>
    <w:p w14:paraId="63232550" w14:textId="77777777" w:rsidR="003317AE" w:rsidRPr="003317AE" w:rsidRDefault="003317AE" w:rsidP="003317AE">
      <w:pPr>
        <w:tabs>
          <w:tab w:val="left" w:pos="900"/>
        </w:tabs>
        <w:spacing w:after="0" w:line="240" w:lineRule="auto"/>
        <w:contextualSpacing/>
        <w:rPr>
          <w:rFonts w:eastAsiaTheme="minorHAnsi"/>
          <w:lang w:val="en-US"/>
        </w:rPr>
      </w:pPr>
    </w:p>
    <w:p w14:paraId="565B5876" w14:textId="77777777" w:rsidR="003317AE" w:rsidRPr="003317AE" w:rsidRDefault="003317AE" w:rsidP="003317AE">
      <w:pPr>
        <w:tabs>
          <w:tab w:val="left" w:pos="900"/>
        </w:tabs>
        <w:spacing w:after="0" w:line="240" w:lineRule="auto"/>
        <w:contextualSpacing/>
        <w:rPr>
          <w:rFonts w:eastAsiaTheme="minorHAnsi"/>
          <w:lang w:val="en-US"/>
        </w:rPr>
      </w:pPr>
      <w:r w:rsidRPr="003317AE">
        <w:rPr>
          <w:rFonts w:eastAsiaTheme="minorHAnsi"/>
          <w:lang w:val="en-US"/>
        </w:rPr>
        <w:t>Decades of research resulting in thousands of methodological studies have been devoted to defining effective petrographic analytical methodologies. Goren and his colleagues have ignored this established body of work and have introduced untested petrographic methodologies that are demonstratively flawed.</w:t>
      </w:r>
    </w:p>
    <w:p w14:paraId="095D7E03" w14:textId="77777777" w:rsidR="003317AE" w:rsidRPr="003317AE" w:rsidRDefault="003317AE" w:rsidP="003317AE">
      <w:pPr>
        <w:tabs>
          <w:tab w:val="left" w:pos="900"/>
        </w:tabs>
        <w:spacing w:after="0" w:line="240" w:lineRule="auto"/>
        <w:contextualSpacing/>
        <w:rPr>
          <w:rFonts w:eastAsiaTheme="minorHAnsi"/>
          <w:lang w:val="en-US"/>
        </w:rPr>
      </w:pPr>
    </w:p>
    <w:p w14:paraId="62B7F614" w14:textId="77777777" w:rsidR="003317AE" w:rsidRPr="003317AE" w:rsidRDefault="003317AE" w:rsidP="003317AE">
      <w:pPr>
        <w:tabs>
          <w:tab w:val="left" w:pos="900"/>
        </w:tabs>
        <w:spacing w:after="0" w:line="240" w:lineRule="auto"/>
        <w:rPr>
          <w:lang w:val="en-US"/>
        </w:rPr>
      </w:pPr>
      <w:r w:rsidRPr="003317AE">
        <w:rPr>
          <w:lang w:val="en-US"/>
        </w:rPr>
        <w:t>Goren et al. (2004) state that the minimum size for a thin section sample is 10 mm x 5 mm</w:t>
      </w:r>
      <w:r w:rsidRPr="003317AE">
        <w:rPr>
          <w:vertAlign w:val="superscript"/>
          <w:lang w:val="en-US"/>
        </w:rPr>
        <w:footnoteReference w:id="49"/>
      </w:r>
      <w:r w:rsidRPr="003317AE">
        <w:rPr>
          <w:lang w:val="en-US"/>
        </w:rPr>
        <w:t>, i.e. 50 mm</w:t>
      </w:r>
      <w:r w:rsidRPr="003317AE">
        <w:rPr>
          <w:vertAlign w:val="superscript"/>
          <w:lang w:val="en-US"/>
        </w:rPr>
        <w:t>2</w:t>
      </w:r>
      <w:r w:rsidRPr="003317AE">
        <w:rPr>
          <w:lang w:val="en-US"/>
        </w:rPr>
        <w:t>. Even so, the authors concede that most of their “peel” samples are smaller than this minimum. No reference is provided for the origin of this minimum. The Office of the Wyoming State Archaeologist recommends that pottery samples be 22 mm x 42 mm (i.e. 924 mm</w:t>
      </w:r>
      <w:r w:rsidRPr="003317AE">
        <w:rPr>
          <w:vertAlign w:val="superscript"/>
          <w:lang w:val="en-US"/>
        </w:rPr>
        <w:t>2</w:t>
      </w:r>
      <w:r w:rsidRPr="003317AE">
        <w:rPr>
          <w:lang w:val="en-US"/>
        </w:rPr>
        <w:t xml:space="preserve">) to ensure the best possible sample for petrographic analysis of pottery material (OWSA 2019). In the geologic petrographic literature, it is generally accepted that the sample must be large enough to allow between 300 and 500 unique point counts (Hutchison 1974; Howard 1993; Poole and Sims 2016; among many others). For certain applications, several thousand points per slide are required (Los Alamos National Laboratory 1990). Active research continues regarding how best to minimize counting and sampling error when making point counts (Demirmen 1971; Neilson and Brockman 1977; Bustin 1991; Vermeesch 2018; etc.). Ultimately, the optimal size of the thin section will be controlled by the grain size of the material being studied. The coarser the grain size, the larger the thin section required to allow the 300-500 unique grain counts. </w:t>
      </w:r>
    </w:p>
    <w:p w14:paraId="466857EC" w14:textId="77777777" w:rsidR="003317AE" w:rsidRPr="003317AE" w:rsidRDefault="003317AE" w:rsidP="003317AE">
      <w:pPr>
        <w:tabs>
          <w:tab w:val="left" w:pos="900"/>
        </w:tabs>
        <w:spacing w:after="0" w:line="240" w:lineRule="auto"/>
        <w:contextualSpacing/>
        <w:rPr>
          <w:rFonts w:eastAsiaTheme="minorHAnsi"/>
          <w:lang w:val="en-US"/>
        </w:rPr>
      </w:pPr>
    </w:p>
    <w:p w14:paraId="2C01DFD6" w14:textId="02EF3C90" w:rsidR="003317AE" w:rsidRPr="003317AE" w:rsidRDefault="003317AE" w:rsidP="003317AE">
      <w:pPr>
        <w:tabs>
          <w:tab w:val="left" w:pos="900"/>
        </w:tabs>
        <w:spacing w:after="0" w:line="240" w:lineRule="auto"/>
        <w:rPr>
          <w:lang w:val="en-US"/>
        </w:rPr>
      </w:pPr>
      <w:r w:rsidRPr="003317AE">
        <w:rPr>
          <w:lang w:val="en-US"/>
        </w:rPr>
        <w:t xml:space="preserve">Goren et al. (2003) and Goren et al. (2004) apparently introduce a new petrographic sample collection strategy, Scattered Petrographic Analysis (SPA), but they provide no justification to support their contention that the method provides representative samples of the material to be analysed. The studies referenced in Flanagan (1986) and USDOE (2019) among many others demonstrate the intensity of testing and assessment that any analytical procedure must experience before being deemed sufficiently robust to be accepted as a standard methodology. As far as can be determined from the Goren et al. (2004) methodology section, the only testing of SPA occurred “…in the pilot phase of the study [when] a new </w:t>
      </w:r>
      <w:r w:rsidRPr="003317AE">
        <w:rPr>
          <w:lang w:val="en-US"/>
        </w:rPr>
        <w:lastRenderedPageBreak/>
        <w:t>sampling and examination method was developed by Goren and named ‘Scattered Petrographic Analysis’ (henceforth SPA)</w:t>
      </w:r>
      <w:r w:rsidRPr="003317AE">
        <w:rPr>
          <w:vertAlign w:val="superscript"/>
          <w:lang w:val="en-US"/>
        </w:rPr>
        <w:footnoteReference w:id="50"/>
      </w:r>
      <w:r w:rsidRPr="003317AE">
        <w:rPr>
          <w:lang w:val="en-US"/>
        </w:rPr>
        <w:t>.” The very description of the SPA procedure raises alarms. Goren et al. (2004) state “A tiny flake of the clay matrix (ca. 1x1 mm) is chipped from a previously fractured surface using a scalpel. The inclusions exposed on the surface of the object are identified under the stereomicroscope and a representative sample dragged as single grains (usually from the edges of the tablet</w:t>
      </w:r>
      <w:r w:rsidRPr="003317AE">
        <w:rPr>
          <w:vertAlign w:val="superscript"/>
          <w:lang w:val="en-US"/>
        </w:rPr>
        <w:footnoteReference w:id="51"/>
      </w:r>
      <w:r w:rsidRPr="003317AE">
        <w:rPr>
          <w:lang w:val="en-US"/>
        </w:rPr>
        <w:t>…” The whole process of hand selecting inclusions from a preexisting surface (which poses its own problems) is the very definition of a non-random sample. Inclusions which may not be obvious under the microscope may not be collected even though they offer key provenance information. Easily observed inclusions may be over</w:t>
      </w:r>
      <w:r w:rsidR="00642BC4">
        <w:rPr>
          <w:lang w:val="en-US"/>
        </w:rPr>
        <w:t>-</w:t>
      </w:r>
      <w:r w:rsidRPr="003317AE">
        <w:rPr>
          <w:lang w:val="en-US"/>
        </w:rPr>
        <w:t xml:space="preserve">sampled. The authors provide no explanation for how they avoid these specific pitfalls. Given that the authors provide no evidence that the results of their SPA outcomes were rigorously tested to document the methods effectiveness by comparing SPA outcomes against known and accepted standards, the methodology remains unvalidated and the results are all suspect. </w:t>
      </w:r>
    </w:p>
    <w:p w14:paraId="5EF4EC2F" w14:textId="77777777" w:rsidR="003317AE" w:rsidRPr="003317AE" w:rsidRDefault="003317AE" w:rsidP="003317AE">
      <w:pPr>
        <w:tabs>
          <w:tab w:val="left" w:pos="900"/>
        </w:tabs>
        <w:spacing w:after="0" w:line="240" w:lineRule="auto"/>
        <w:contextualSpacing/>
        <w:rPr>
          <w:rFonts w:eastAsiaTheme="minorHAnsi"/>
          <w:lang w:val="en-US"/>
        </w:rPr>
      </w:pPr>
    </w:p>
    <w:p w14:paraId="75159FF0" w14:textId="77777777" w:rsidR="003317AE" w:rsidRPr="003317AE" w:rsidRDefault="003317AE" w:rsidP="003317AE">
      <w:pPr>
        <w:tabs>
          <w:tab w:val="left" w:pos="900"/>
        </w:tabs>
        <w:spacing w:after="0" w:line="240" w:lineRule="auto"/>
        <w:rPr>
          <w:lang w:val="en-US"/>
        </w:rPr>
      </w:pPr>
      <w:r w:rsidRPr="003317AE">
        <w:rPr>
          <w:lang w:val="en-US"/>
        </w:rPr>
        <w:t>The SPA reliability</w:t>
      </w:r>
      <w:r w:rsidRPr="003317AE">
        <w:rPr>
          <w:vertAlign w:val="superscript"/>
          <w:lang w:val="en-US"/>
        </w:rPr>
        <w:footnoteReference w:id="52"/>
      </w:r>
      <w:r w:rsidRPr="003317AE">
        <w:rPr>
          <w:lang w:val="en-US"/>
        </w:rPr>
        <w:t xml:space="preserve"> designations defined by Goren et al. (2004) are meaningless. There has been no testing to show that these category designations are reliable in the way that the petrographic point counting methodology has been tested (van der Plas and Tobi 1965; Dennison 1966; see also references in Flügel 1982). The authors’ categories are arbitrary and clearly, have been defined to create the illusion that there is rigorous statistical analysis to support the reliability assurance assignments. </w:t>
      </w:r>
    </w:p>
    <w:p w14:paraId="59A5A45C" w14:textId="77777777" w:rsidR="003317AE" w:rsidRPr="003317AE" w:rsidRDefault="003317AE" w:rsidP="003317AE">
      <w:pPr>
        <w:tabs>
          <w:tab w:val="left" w:pos="900"/>
        </w:tabs>
        <w:spacing w:after="0" w:line="240" w:lineRule="auto"/>
        <w:rPr>
          <w:lang w:val="en-US"/>
        </w:rPr>
      </w:pPr>
    </w:p>
    <w:p w14:paraId="429F4619" w14:textId="77777777" w:rsidR="003317AE" w:rsidRPr="003317AE" w:rsidRDefault="003317AE" w:rsidP="003317AE">
      <w:pPr>
        <w:tabs>
          <w:tab w:val="left" w:pos="900"/>
        </w:tabs>
        <w:spacing w:after="0" w:line="240" w:lineRule="auto"/>
        <w:rPr>
          <w:lang w:val="en-US"/>
        </w:rPr>
      </w:pPr>
      <w:r w:rsidRPr="003317AE">
        <w:rPr>
          <w:lang w:val="en-US"/>
        </w:rPr>
        <w:t xml:space="preserve">Cohen-Weinberger and Goren (2004) make reference to the fact that they use their own petrographic database. The authors do not tell the reader how many reference raw materials are contained in this database or the geographic distribution of samples from across the Levant. With this information unreported, investigators cannot know if this database is representative of the range of raw materials that potters may have used. Cohen-Weinberger and Goren then indicate that their </w:t>
      </w:r>
      <w:r w:rsidRPr="003317AE">
        <w:rPr>
          <w:lang w:val="en-US"/>
        </w:rPr>
        <w:lastRenderedPageBreak/>
        <w:t>database contains “thin sections of pottery from most of the significant archaeological sites in the southern Levant.</w:t>
      </w:r>
      <w:r w:rsidRPr="003317AE">
        <w:rPr>
          <w:vertAlign w:val="superscript"/>
          <w:lang w:val="en-US"/>
        </w:rPr>
        <w:footnoteReference w:id="53"/>
      </w:r>
      <w:r w:rsidRPr="003317AE">
        <w:rPr>
          <w:lang w:val="en-US"/>
        </w:rPr>
        <w:t xml:space="preserve">” The authors do not mention how this database was determined to be composed of sherds reliably identified as locally manufactured. Given the uncertainties associated with this comparative database, and the unwillingness of the authors to better define the database content, provenance determinations using this information will always be questioned. The fact that their petrographic observations are qualitative rather than quantitative and the classification criteria have not been subjected to any sort of rigorous statistical analysis makes their A through C reliability criteria meaningless. </w:t>
      </w:r>
    </w:p>
    <w:p w14:paraId="7350FD67" w14:textId="77777777" w:rsidR="003317AE" w:rsidRPr="003317AE" w:rsidRDefault="003317AE" w:rsidP="003317AE">
      <w:pPr>
        <w:tabs>
          <w:tab w:val="left" w:pos="900"/>
        </w:tabs>
        <w:spacing w:after="0" w:line="240" w:lineRule="auto"/>
        <w:rPr>
          <w:lang w:val="en-US"/>
        </w:rPr>
      </w:pPr>
    </w:p>
    <w:p w14:paraId="05164DD6" w14:textId="77777777" w:rsidR="003317AE" w:rsidRPr="003317AE" w:rsidRDefault="003317AE" w:rsidP="003317AE">
      <w:pPr>
        <w:tabs>
          <w:tab w:val="left" w:pos="900"/>
        </w:tabs>
        <w:spacing w:after="0" w:line="240" w:lineRule="auto"/>
        <w:rPr>
          <w:lang w:val="en-US"/>
        </w:rPr>
      </w:pPr>
      <w:r w:rsidRPr="003317AE">
        <w:rPr>
          <w:lang w:val="en-US"/>
        </w:rPr>
        <w:t xml:space="preserve">The reliability indices used are not static. They change from report to report. Goren et al. (2004) uses five reliability categories; Cohen-Weinberger and Goren (2004) use three. They are named and defined differently in each manuscript. The authors do not provide a rigorous definition for how a petrographic assessment will be assigned to a category. The criteria vary from manuscript to manuscript and are subjective – to be applied to the data collected in that study rather than generally applicable to other studies. The subjective nature of the criteria means that they can be manipulated to deliver required outcomes. </w:t>
      </w:r>
    </w:p>
    <w:p w14:paraId="43B4B022" w14:textId="77777777" w:rsidR="003317AE" w:rsidRPr="003317AE" w:rsidRDefault="003317AE" w:rsidP="003317AE">
      <w:pPr>
        <w:tabs>
          <w:tab w:val="left" w:pos="900"/>
        </w:tabs>
        <w:spacing w:after="0" w:line="240" w:lineRule="auto"/>
        <w:rPr>
          <w:lang w:val="en-US"/>
        </w:rPr>
      </w:pPr>
    </w:p>
    <w:p w14:paraId="05D5D455" w14:textId="77777777" w:rsidR="003317AE" w:rsidRPr="003317AE" w:rsidRDefault="003317AE" w:rsidP="003317AE">
      <w:pPr>
        <w:tabs>
          <w:tab w:val="left" w:pos="900"/>
        </w:tabs>
        <w:spacing w:after="0" w:line="240" w:lineRule="auto"/>
        <w:rPr>
          <w:rFonts w:eastAsiaTheme="minorHAnsi"/>
          <w:lang w:val="en-US"/>
        </w:rPr>
      </w:pPr>
    </w:p>
    <w:p w14:paraId="773F7B65" w14:textId="77777777" w:rsidR="003317AE" w:rsidRPr="003317AE" w:rsidRDefault="003317AE" w:rsidP="003317AE">
      <w:pPr>
        <w:tabs>
          <w:tab w:val="left" w:pos="900"/>
        </w:tabs>
        <w:spacing w:after="0" w:line="240" w:lineRule="auto"/>
        <w:contextualSpacing/>
        <w:rPr>
          <w:rFonts w:eastAsiaTheme="minorHAnsi"/>
          <w:lang w:val="en-US"/>
        </w:rPr>
      </w:pPr>
    </w:p>
    <w:p w14:paraId="596DCC93" w14:textId="77777777" w:rsidR="003317AE" w:rsidRPr="003317AE" w:rsidRDefault="003317AE" w:rsidP="003317AE">
      <w:pPr>
        <w:spacing w:after="200" w:line="240" w:lineRule="auto"/>
        <w:contextualSpacing/>
        <w:rPr>
          <w:rFonts w:eastAsiaTheme="minorHAnsi"/>
          <w:b/>
          <w:lang w:val="en-US"/>
        </w:rPr>
      </w:pPr>
      <w:r w:rsidRPr="003317AE">
        <w:rPr>
          <w:rFonts w:eastAsiaTheme="minorHAnsi"/>
          <w:b/>
          <w:lang w:val="en-US"/>
        </w:rPr>
        <w:t>Sampling for Geochemical Analysis</w:t>
      </w:r>
    </w:p>
    <w:p w14:paraId="644DF90B" w14:textId="77777777" w:rsidR="003317AE" w:rsidRPr="003317AE" w:rsidRDefault="003317AE" w:rsidP="003317AE">
      <w:pPr>
        <w:spacing w:after="200" w:line="240" w:lineRule="auto"/>
        <w:contextualSpacing/>
        <w:rPr>
          <w:rFonts w:eastAsiaTheme="minorHAnsi"/>
          <w:lang w:val="en-US"/>
        </w:rPr>
      </w:pPr>
    </w:p>
    <w:p w14:paraId="1E580C71" w14:textId="77777777" w:rsidR="003317AE" w:rsidRPr="003317AE" w:rsidRDefault="003317AE" w:rsidP="003317AE">
      <w:pPr>
        <w:spacing w:after="200" w:line="240" w:lineRule="auto"/>
        <w:contextualSpacing/>
        <w:rPr>
          <w:rFonts w:eastAsiaTheme="minorHAnsi"/>
          <w:lang w:val="en-US"/>
        </w:rPr>
      </w:pPr>
      <w:r w:rsidRPr="003317AE">
        <w:rPr>
          <w:rFonts w:eastAsiaTheme="minorHAnsi"/>
          <w:lang w:val="en-US"/>
        </w:rPr>
        <w:t>Since chemical analysis was used extensively in Goren’s book on the Amarna tablets and provenances established there were used in provenancing MB pottery at Tell el-Dab`a and since Goren and his colleagues have been highly dismissive of another chemical technique (NAA), it is important to assess their geochemical methodology.</w:t>
      </w:r>
    </w:p>
    <w:p w14:paraId="32E1FEAD" w14:textId="77777777" w:rsidR="003317AE" w:rsidRPr="003317AE" w:rsidRDefault="003317AE" w:rsidP="003317AE">
      <w:pPr>
        <w:spacing w:after="200" w:line="240" w:lineRule="auto"/>
        <w:contextualSpacing/>
        <w:rPr>
          <w:rFonts w:eastAsiaTheme="minorHAnsi"/>
          <w:lang w:val="en-US"/>
        </w:rPr>
      </w:pPr>
    </w:p>
    <w:p w14:paraId="22F41275" w14:textId="77777777" w:rsidR="003317AE" w:rsidRPr="003317AE" w:rsidRDefault="003317AE" w:rsidP="003317AE">
      <w:pPr>
        <w:spacing w:after="200" w:line="240" w:lineRule="auto"/>
        <w:contextualSpacing/>
        <w:rPr>
          <w:rFonts w:eastAsiaTheme="minorHAnsi"/>
          <w:lang w:val="en-US"/>
        </w:rPr>
      </w:pPr>
      <w:r w:rsidRPr="003317AE">
        <w:rPr>
          <w:rFonts w:eastAsiaTheme="minorHAnsi"/>
          <w:lang w:val="en-US"/>
        </w:rPr>
        <w:t xml:space="preserve">There is a major body of literature concerned with sampling and processing methods to develop procedural standards for ICP-MS, ICP-AES and ICP-OES analyses. Different materials typically require custom standards for sampling and processing to ensure reliable results. Many of these standards are codified as ISO or </w:t>
      </w:r>
      <w:r w:rsidRPr="003317AE">
        <w:rPr>
          <w:rFonts w:eastAsiaTheme="minorHAnsi"/>
          <w:lang w:val="en-US"/>
        </w:rPr>
        <w:lastRenderedPageBreak/>
        <w:t>ASTM standards that can then be purchased from the International Standards Organization (ISO</w:t>
      </w:r>
      <w:r w:rsidRPr="003317AE">
        <w:rPr>
          <w:rFonts w:eastAsiaTheme="minorHAnsi"/>
          <w:vertAlign w:val="superscript"/>
          <w:lang w:val="en-US"/>
        </w:rPr>
        <w:footnoteReference w:id="54"/>
      </w:r>
      <w:r w:rsidRPr="003317AE">
        <w:rPr>
          <w:rFonts w:eastAsiaTheme="minorHAnsi"/>
          <w:lang w:val="en-US"/>
        </w:rPr>
        <w:t>) or the American Society for Testing and Materials (ASTM</w:t>
      </w:r>
      <w:r w:rsidRPr="003317AE">
        <w:rPr>
          <w:rFonts w:eastAsiaTheme="minorHAnsi"/>
          <w:vertAlign w:val="superscript"/>
          <w:lang w:val="en-US"/>
        </w:rPr>
        <w:footnoteReference w:id="55"/>
      </w:r>
      <w:r w:rsidRPr="003317AE">
        <w:rPr>
          <w:rFonts w:eastAsiaTheme="minorHAnsi"/>
          <w:lang w:val="en-US"/>
        </w:rPr>
        <w:t xml:space="preserve">). The interested reader should view the US Department of Energy website (USDOE 2019) for a list of 400+ procedural studies on ICP-MS methodology. Similar compilations almost certainly exist for the other analytical techniques as well. </w:t>
      </w:r>
    </w:p>
    <w:p w14:paraId="0874E3A8" w14:textId="77777777" w:rsidR="003317AE" w:rsidRPr="003317AE" w:rsidRDefault="003317AE" w:rsidP="003317AE">
      <w:pPr>
        <w:spacing w:after="200" w:line="240" w:lineRule="auto"/>
        <w:contextualSpacing/>
        <w:rPr>
          <w:rFonts w:eastAsiaTheme="minorHAnsi"/>
          <w:lang w:val="en-US"/>
        </w:rPr>
      </w:pPr>
    </w:p>
    <w:p w14:paraId="074E4CA5" w14:textId="3FA6CE69" w:rsidR="003317AE" w:rsidRPr="003317AE" w:rsidRDefault="003317AE" w:rsidP="003317AE">
      <w:pPr>
        <w:spacing w:after="200" w:line="240" w:lineRule="auto"/>
        <w:contextualSpacing/>
        <w:rPr>
          <w:rFonts w:eastAsiaTheme="minorHAnsi"/>
          <w:lang w:val="en-US"/>
        </w:rPr>
      </w:pPr>
      <w:r w:rsidRPr="003317AE">
        <w:rPr>
          <w:rFonts w:eastAsiaTheme="minorHAnsi"/>
          <w:lang w:val="en-US"/>
        </w:rPr>
        <w:t>It is not our purpose to review the standards literature. Our concern is whether or not Goren et al. (2004) had collected representative samples from the clay tablets they were studying. Their description of the sampling methods shows conclusively that they did not. Given the miniscule sample sizes collected, which by the authors’ own admission was “in most cases … far smaller than the 250 mg of material that is commonly recommended for ICP analysis of ceramic materials</w:t>
      </w:r>
      <w:r w:rsidRPr="003317AE">
        <w:rPr>
          <w:rFonts w:eastAsiaTheme="minorHAnsi"/>
          <w:vertAlign w:val="superscript"/>
          <w:lang w:val="en-US"/>
        </w:rPr>
        <w:footnoteReference w:id="56"/>
      </w:r>
      <w:r w:rsidRPr="003317AE">
        <w:rPr>
          <w:rFonts w:eastAsiaTheme="minorHAnsi"/>
          <w:lang w:val="en-US"/>
        </w:rPr>
        <w:t>”</w:t>
      </w:r>
      <w:r w:rsidR="00642BC4">
        <w:rPr>
          <w:rFonts w:eastAsiaTheme="minorHAnsi"/>
          <w:lang w:val="en-US"/>
        </w:rPr>
        <w:t xml:space="preserve">, this methodology </w:t>
      </w:r>
      <w:r w:rsidRPr="003317AE">
        <w:rPr>
          <w:rFonts w:eastAsiaTheme="minorHAnsi"/>
          <w:lang w:val="en-US"/>
        </w:rPr>
        <w:t xml:space="preserve">is problematic from many perspectives. </w:t>
      </w:r>
    </w:p>
    <w:p w14:paraId="61DF1AA6" w14:textId="77777777" w:rsidR="003317AE" w:rsidRPr="003317AE" w:rsidRDefault="003317AE" w:rsidP="003317AE">
      <w:pPr>
        <w:spacing w:after="200" w:line="240" w:lineRule="auto"/>
        <w:contextualSpacing/>
        <w:rPr>
          <w:rFonts w:eastAsiaTheme="minorHAnsi"/>
          <w:lang w:val="en-US"/>
        </w:rPr>
      </w:pPr>
    </w:p>
    <w:p w14:paraId="470E41CC" w14:textId="77777777" w:rsidR="003317AE" w:rsidRPr="003317AE" w:rsidRDefault="003317AE" w:rsidP="003317AE">
      <w:pPr>
        <w:spacing w:after="200" w:line="240" w:lineRule="auto"/>
        <w:contextualSpacing/>
        <w:rPr>
          <w:rFonts w:eastAsiaTheme="minorHAnsi"/>
          <w:lang w:val="en-US"/>
        </w:rPr>
      </w:pPr>
      <w:r w:rsidRPr="003317AE">
        <w:rPr>
          <w:rFonts w:eastAsiaTheme="minorHAnsi"/>
          <w:lang w:val="en-US"/>
        </w:rPr>
        <w:t xml:space="preserve">First, the authors do not reference the source of the 250 mg minimum size. Goren (1996) chooses to use 500 mg also without referencing this choice of quantity. A review of recommended sample size made by laboratories and standards groups for analysis of sediments and archaeological materials indicate that minimum sample size should be between 1 g and 8 g (Michigan State University 2019; </w:t>
      </w:r>
      <w:r w:rsidRPr="003317AE">
        <w:rPr>
          <w:rFonts w:eastAsiaTheme="minorHAnsi"/>
          <w:iCs/>
          <w:lang w:val="en-US"/>
        </w:rPr>
        <w:t>Sandström et al</w:t>
      </w:r>
      <w:r w:rsidRPr="003317AE">
        <w:rPr>
          <w:rFonts w:eastAsiaTheme="minorHAnsi"/>
          <w:lang w:val="en-US"/>
        </w:rPr>
        <w:t xml:space="preserve">. undated; among many others). Thus, the clay tablet samples appear to be 1 to 2 </w:t>
      </w:r>
      <w:r w:rsidRPr="003317AE">
        <w:rPr>
          <w:rFonts w:eastAsiaTheme="minorHAnsi"/>
          <w:i/>
          <w:lang w:val="en-US"/>
        </w:rPr>
        <w:t>orders of magnitude</w:t>
      </w:r>
      <w:r w:rsidRPr="003317AE">
        <w:rPr>
          <w:rFonts w:eastAsiaTheme="minorHAnsi"/>
          <w:lang w:val="en-US"/>
        </w:rPr>
        <w:t xml:space="preserve"> smaller than the recommended minimum size. Minimum size requirements are not set at random. Minimum size requirements are specified as part of the ISO/ASTM standards setting process and as part of the specialized research into instrument performance as indicated in the list of studies cited in USDOE (2019) and other such document compilations. This author has personal experience in submitting an undersized sample to a commercial analytical lab for an ICP-MS analysis. The laboratory notified the author that the sample was too small for analysis (about 50% smaller than required, not several orders of magnitude smaller as were the samples submitted by Goren et al. 2004. After authorizing the lab to process the sample, the lab results were accompanied </w:t>
      </w:r>
      <w:r w:rsidRPr="003317AE">
        <w:rPr>
          <w:rFonts w:eastAsiaTheme="minorHAnsi"/>
          <w:lang w:val="en-US"/>
        </w:rPr>
        <w:lastRenderedPageBreak/>
        <w:t xml:space="preserve">with a letter clearly stating that the results were unreliable because of sample inadequacy. </w:t>
      </w:r>
    </w:p>
    <w:p w14:paraId="08FF13BE" w14:textId="77777777" w:rsidR="003317AE" w:rsidRPr="003317AE" w:rsidRDefault="003317AE" w:rsidP="003317AE">
      <w:pPr>
        <w:spacing w:after="200" w:line="240" w:lineRule="auto"/>
        <w:contextualSpacing/>
        <w:rPr>
          <w:rFonts w:eastAsiaTheme="minorHAnsi"/>
          <w:lang w:val="en-US"/>
        </w:rPr>
      </w:pPr>
    </w:p>
    <w:p w14:paraId="3CA51154" w14:textId="15521C19" w:rsidR="003317AE" w:rsidRPr="003317AE" w:rsidRDefault="003317AE" w:rsidP="003317AE">
      <w:pPr>
        <w:spacing w:after="200" w:line="240" w:lineRule="auto"/>
        <w:contextualSpacing/>
        <w:rPr>
          <w:rFonts w:eastAsiaTheme="minorHAnsi"/>
          <w:lang w:val="en-US"/>
        </w:rPr>
      </w:pPr>
      <w:r w:rsidRPr="003317AE">
        <w:rPr>
          <w:rFonts w:eastAsiaTheme="minorHAnsi"/>
          <w:lang w:val="en-US"/>
        </w:rPr>
        <w:t>It is true that smaller samples of biological materials may be analysed, but the purposes of those analyses are very different from trying to establish provenance of pottery clay, so the use of smaller samples in this special case cannot be used as a potential justification for the small samples used by Goren et al. (2004). It is also possible that homogeneous manufactured goods like glass and metal alloys that exist as liquids before being fashioned into solid artefacts might yield accurate analyses from smaller samples. However, clay tablets do not fall into such a category. The descriptions by Goren et al. (2011) of the structural characteristics of several of the tablets indicates their potential to be nonhomogeneous</w:t>
      </w:r>
      <w:r w:rsidRPr="003317AE">
        <w:rPr>
          <w:rFonts w:eastAsiaTheme="minorHAnsi"/>
          <w:vertAlign w:val="superscript"/>
          <w:lang w:val="en-US"/>
        </w:rPr>
        <w:footnoteReference w:id="57"/>
      </w:r>
      <w:r w:rsidRPr="003317AE">
        <w:rPr>
          <w:rFonts w:eastAsiaTheme="minorHAnsi"/>
          <w:lang w:val="en-US"/>
        </w:rPr>
        <w:t xml:space="preserve">. When clays accumulate in any natural depositional system, some fraction of non-clay sized grains is likely to accumulate as well. Almost certainly silt sized grains will be present and possibly sand fractions also. The clay is further modified by the purposeful addition of tempers. Flanagan (1967, 1986) among many others describes the process of creating a homogeneous material from rocks and sediments. No clay tablet maker would have followed the process described by Flanagan (1967, 1986). Moreover, the addition of temper undoes the process of making a homogeneous material by purposefully adding inhomogenieties (i.e. temper grains). Flanagan (1986) and SGS (2014) among many others address issues of sampling and homogenizing nonhomogeneous materials in order to get an accurate representative analysis of their trace element profiles. In all cases, this starts with a sample large enough to sample as many as possible of the potential inhomogenieties within the material to be tested. </w:t>
      </w:r>
    </w:p>
    <w:p w14:paraId="23968AED" w14:textId="77777777" w:rsidR="003317AE" w:rsidRPr="003317AE" w:rsidRDefault="003317AE" w:rsidP="003317AE">
      <w:pPr>
        <w:spacing w:after="200" w:line="240" w:lineRule="auto"/>
        <w:contextualSpacing/>
        <w:rPr>
          <w:rFonts w:eastAsiaTheme="minorHAnsi"/>
          <w:lang w:val="en-US"/>
        </w:rPr>
      </w:pPr>
    </w:p>
    <w:p w14:paraId="615C5D8B" w14:textId="77777777" w:rsidR="003317AE" w:rsidRPr="003317AE" w:rsidRDefault="003317AE" w:rsidP="003317AE">
      <w:pPr>
        <w:tabs>
          <w:tab w:val="left" w:pos="900"/>
        </w:tabs>
        <w:spacing w:after="0" w:line="240" w:lineRule="auto"/>
        <w:contextualSpacing/>
        <w:rPr>
          <w:rFonts w:eastAsiaTheme="minorHAnsi"/>
          <w:lang w:val="en-US"/>
        </w:rPr>
      </w:pPr>
      <w:r w:rsidRPr="003317AE">
        <w:rPr>
          <w:rFonts w:eastAsiaTheme="minorHAnsi"/>
          <w:lang w:val="en-US"/>
        </w:rPr>
        <w:t>The origin of the samples sent for trace element analysis is problematic. The authors state: “In most cases the samples were collected from the sediment that crumbled from the tablets in the process of peeling.</w:t>
      </w:r>
      <w:r w:rsidRPr="003317AE">
        <w:rPr>
          <w:rFonts w:eastAsiaTheme="minorHAnsi"/>
          <w:vertAlign w:val="superscript"/>
          <w:lang w:val="en-US"/>
        </w:rPr>
        <w:footnoteReference w:id="58"/>
      </w:r>
      <w:r w:rsidRPr="003317AE">
        <w:rPr>
          <w:rFonts w:eastAsiaTheme="minorHAnsi"/>
          <w:lang w:val="en-US"/>
        </w:rPr>
        <w:t xml:space="preserve">” Nowhere in the methodology section do the authors discuss specific precautions taken to ensure that surface contamination derived from the burial medium and from materials deposited from circulating/percolating ground waters were not included with the material </w:t>
      </w:r>
      <w:r w:rsidRPr="003317AE">
        <w:rPr>
          <w:rFonts w:eastAsiaTheme="minorHAnsi"/>
          <w:lang w:val="en-US"/>
        </w:rPr>
        <w:lastRenderedPageBreak/>
        <w:t>sent for analysis. In a previous section they state: “This method is almost non-destructive, requiring a sample of only a few milligrams that can be taken as tiny grains from one or several hidden or fractured spots in the artefact’s surface.</w:t>
      </w:r>
      <w:r w:rsidRPr="003317AE">
        <w:rPr>
          <w:rFonts w:eastAsiaTheme="minorHAnsi"/>
          <w:vertAlign w:val="superscript"/>
          <w:lang w:val="en-US"/>
        </w:rPr>
        <w:footnoteReference w:id="59"/>
      </w:r>
      <w:r w:rsidRPr="003317AE">
        <w:rPr>
          <w:rFonts w:eastAsiaTheme="minorHAnsi"/>
          <w:lang w:val="en-US"/>
        </w:rPr>
        <w:t>” If these statements actually reflect the level of precautions taken to minimize contamination, then there is a high probability that the trace element profiles include a significant contribution of material from the burial medium, ground water deposits, and even museum dust! Given the small sample size, the trace element contribution from contaminants is likely to be disproportionate and the trace element profiles therefore meaningless.</w:t>
      </w:r>
    </w:p>
    <w:p w14:paraId="2F7D8739" w14:textId="77777777" w:rsidR="003317AE" w:rsidRPr="003317AE" w:rsidRDefault="003317AE" w:rsidP="003317AE">
      <w:pPr>
        <w:tabs>
          <w:tab w:val="left" w:pos="900"/>
        </w:tabs>
        <w:spacing w:after="0" w:line="240" w:lineRule="auto"/>
        <w:contextualSpacing/>
        <w:rPr>
          <w:rFonts w:eastAsiaTheme="minorHAnsi"/>
          <w:lang w:val="en-US"/>
        </w:rPr>
      </w:pPr>
    </w:p>
    <w:p w14:paraId="7DB9547E" w14:textId="77777777" w:rsidR="003317AE" w:rsidRPr="003317AE" w:rsidRDefault="003317AE" w:rsidP="003317AE">
      <w:pPr>
        <w:tabs>
          <w:tab w:val="left" w:pos="900"/>
        </w:tabs>
        <w:spacing w:after="0" w:line="240" w:lineRule="auto"/>
        <w:contextualSpacing/>
        <w:rPr>
          <w:rFonts w:eastAsiaTheme="minorHAnsi"/>
          <w:lang w:val="en-US"/>
        </w:rPr>
      </w:pPr>
    </w:p>
    <w:p w14:paraId="49EB6E38" w14:textId="77777777" w:rsidR="003317AE" w:rsidRPr="003317AE" w:rsidRDefault="003317AE" w:rsidP="003317AE">
      <w:pPr>
        <w:spacing w:line="259" w:lineRule="auto"/>
        <w:rPr>
          <w:rFonts w:eastAsiaTheme="minorHAnsi"/>
          <w:b/>
          <w:lang w:val="en-US"/>
        </w:rPr>
      </w:pPr>
      <w:r w:rsidRPr="003317AE">
        <w:rPr>
          <w:rFonts w:eastAsiaTheme="minorHAnsi"/>
          <w:b/>
          <w:lang w:val="en-US"/>
        </w:rPr>
        <w:br w:type="page"/>
      </w:r>
    </w:p>
    <w:p w14:paraId="67F02B57" w14:textId="77777777" w:rsidR="003317AE" w:rsidRPr="003317AE" w:rsidRDefault="003317AE" w:rsidP="003317AE">
      <w:pPr>
        <w:tabs>
          <w:tab w:val="left" w:pos="900"/>
        </w:tabs>
        <w:spacing w:after="0" w:line="240" w:lineRule="auto"/>
        <w:rPr>
          <w:rFonts w:eastAsiaTheme="minorHAnsi"/>
          <w:b/>
          <w:lang w:val="en-US"/>
        </w:rPr>
      </w:pPr>
      <w:r w:rsidRPr="003317AE">
        <w:rPr>
          <w:rFonts w:eastAsiaTheme="minorHAnsi"/>
          <w:b/>
          <w:lang w:val="en-US"/>
        </w:rPr>
        <w:lastRenderedPageBreak/>
        <w:t>Geochemical Data Analysis and Interpretation</w:t>
      </w:r>
    </w:p>
    <w:p w14:paraId="03BB9003" w14:textId="77777777" w:rsidR="003317AE" w:rsidRPr="003317AE" w:rsidRDefault="003317AE" w:rsidP="003317AE">
      <w:pPr>
        <w:tabs>
          <w:tab w:val="left" w:pos="900"/>
        </w:tabs>
        <w:spacing w:after="0" w:line="240" w:lineRule="auto"/>
        <w:rPr>
          <w:rFonts w:eastAsiaTheme="minorHAnsi"/>
          <w:lang w:val="en-US"/>
        </w:rPr>
      </w:pPr>
    </w:p>
    <w:p w14:paraId="4D9069AD" w14:textId="77777777" w:rsidR="003317AE" w:rsidRPr="003317AE" w:rsidRDefault="003317AE" w:rsidP="003317AE">
      <w:pPr>
        <w:tabs>
          <w:tab w:val="left" w:pos="900"/>
        </w:tabs>
        <w:spacing w:after="0" w:line="240" w:lineRule="auto"/>
        <w:rPr>
          <w:rFonts w:eastAsiaTheme="minorHAnsi"/>
          <w:lang w:val="en-US"/>
        </w:rPr>
      </w:pPr>
      <w:r w:rsidRPr="003317AE">
        <w:rPr>
          <w:rFonts w:eastAsiaTheme="minorHAnsi"/>
          <w:lang w:val="en-US"/>
        </w:rPr>
        <w:t xml:space="preserve">Under methodology, Goren et al. (2004) describe their basic assumptions regarding the interpretation of the meaning of their geochemical data. Most of their assumptions are based on an inaccurate understanding of major, minor, and trace element geochemistry, and therefore, are mostly incorrect. Confidence in their understanding of the significance of their geochemical findings is further eroded by their tendency to use technical terminology incorrectly throughout (see discussion in a later section), further indicating that they do not understand the science behind the words they are bandying about. </w:t>
      </w:r>
    </w:p>
    <w:p w14:paraId="38330098" w14:textId="77777777" w:rsidR="003317AE" w:rsidRPr="003317AE" w:rsidRDefault="003317AE" w:rsidP="003317AE">
      <w:pPr>
        <w:tabs>
          <w:tab w:val="left" w:pos="900"/>
        </w:tabs>
        <w:spacing w:after="0" w:line="240" w:lineRule="auto"/>
        <w:rPr>
          <w:rFonts w:eastAsiaTheme="minorHAnsi"/>
          <w:lang w:val="en-US"/>
        </w:rPr>
      </w:pPr>
    </w:p>
    <w:p w14:paraId="17AA8C88" w14:textId="77777777" w:rsidR="003317AE" w:rsidRPr="003317AE" w:rsidRDefault="003317AE" w:rsidP="003317AE">
      <w:pPr>
        <w:tabs>
          <w:tab w:val="left" w:pos="900"/>
        </w:tabs>
        <w:spacing w:after="0" w:line="240" w:lineRule="auto"/>
        <w:rPr>
          <w:rFonts w:eastAsiaTheme="minorHAnsi"/>
          <w:lang w:val="en-US"/>
        </w:rPr>
      </w:pPr>
      <w:r w:rsidRPr="003317AE">
        <w:rPr>
          <w:rFonts w:eastAsiaTheme="minorHAnsi"/>
          <w:lang w:val="en-US"/>
        </w:rPr>
        <w:t>In describing ICP-AES and ICP-MS results, the authors make the following statement: “However, due to the small size of most samples the results of several elements were inaccurate and omitted from the list.</w:t>
      </w:r>
      <w:r w:rsidRPr="003317AE">
        <w:rPr>
          <w:rFonts w:eastAsiaTheme="minorHAnsi"/>
          <w:vertAlign w:val="superscript"/>
          <w:lang w:val="en-US"/>
        </w:rPr>
        <w:footnoteReference w:id="60"/>
      </w:r>
      <w:r w:rsidRPr="003317AE">
        <w:rPr>
          <w:rFonts w:eastAsiaTheme="minorHAnsi"/>
          <w:lang w:val="en-US"/>
        </w:rPr>
        <w:t xml:space="preserve">” In making this statement, Goren et al. (2004) declare to the reader that the entirety of their geochemical results are unreliable. The statements that the authors make in the paragraph containing this sentence confirm their lack of understanding of basic geochemical reality. The authors have placed themselves into an inescapable trap. By admitting that their sample size is too small for </w:t>
      </w:r>
      <w:r w:rsidRPr="003317AE">
        <w:rPr>
          <w:rFonts w:eastAsiaTheme="minorHAnsi"/>
          <w:i/>
          <w:lang w:val="en-US"/>
        </w:rPr>
        <w:t>some</w:t>
      </w:r>
      <w:r w:rsidRPr="003317AE">
        <w:rPr>
          <w:rFonts w:eastAsiaTheme="minorHAnsi"/>
          <w:lang w:val="en-US"/>
        </w:rPr>
        <w:t xml:space="preserve"> elements, they are </w:t>
      </w:r>
      <w:r w:rsidRPr="003317AE">
        <w:rPr>
          <w:rFonts w:eastAsiaTheme="minorHAnsi"/>
          <w:i/>
          <w:lang w:val="en-US"/>
        </w:rPr>
        <w:t>de facto</w:t>
      </w:r>
      <w:r w:rsidRPr="003317AE">
        <w:rPr>
          <w:rFonts w:eastAsiaTheme="minorHAnsi"/>
          <w:lang w:val="en-US"/>
        </w:rPr>
        <w:t xml:space="preserve"> admitting that the sample size is too small to provide any reliable results whatsoever. One cannot declare for a given sample that some parts of the analysis are correct while other parts are not. The analysis as a whole is either correct or it isn’t. </w:t>
      </w:r>
    </w:p>
    <w:p w14:paraId="04DDF18F" w14:textId="77777777" w:rsidR="003317AE" w:rsidRPr="003317AE" w:rsidRDefault="003317AE" w:rsidP="003317AE">
      <w:pPr>
        <w:tabs>
          <w:tab w:val="left" w:pos="900"/>
        </w:tabs>
        <w:spacing w:after="0" w:line="240" w:lineRule="auto"/>
        <w:rPr>
          <w:rFonts w:eastAsiaTheme="minorHAnsi"/>
          <w:lang w:val="en-US"/>
        </w:rPr>
      </w:pPr>
    </w:p>
    <w:p w14:paraId="5188BE9C" w14:textId="77777777" w:rsidR="003317AE" w:rsidRPr="003317AE" w:rsidRDefault="003317AE" w:rsidP="003317AE">
      <w:pPr>
        <w:tabs>
          <w:tab w:val="left" w:pos="900"/>
        </w:tabs>
        <w:spacing w:after="0" w:line="240" w:lineRule="auto"/>
        <w:rPr>
          <w:rFonts w:eastAsiaTheme="minorHAnsi"/>
          <w:lang w:val="en-US"/>
        </w:rPr>
      </w:pPr>
      <w:r w:rsidRPr="003317AE">
        <w:rPr>
          <w:rFonts w:eastAsiaTheme="minorHAnsi"/>
          <w:lang w:val="en-US"/>
        </w:rPr>
        <w:t xml:space="preserve">The very small sample size has another potential impact on the accuracy of the geochemical analyses. The trace element profile of the sample can be made unrepresentative of the true trace element profile by the random inclusion of a single rare mineral grain. Because the sample size is so small, rare grains contribute disproportionately to the trace element profile. </w:t>
      </w:r>
    </w:p>
    <w:p w14:paraId="06054157" w14:textId="77777777" w:rsidR="003317AE" w:rsidRPr="003317AE" w:rsidRDefault="003317AE" w:rsidP="003317AE">
      <w:pPr>
        <w:tabs>
          <w:tab w:val="left" w:pos="900"/>
        </w:tabs>
        <w:spacing w:after="0" w:line="240" w:lineRule="auto"/>
        <w:rPr>
          <w:rFonts w:eastAsiaTheme="minorHAnsi"/>
          <w:lang w:val="en-US"/>
        </w:rPr>
      </w:pPr>
    </w:p>
    <w:p w14:paraId="12A851D8" w14:textId="77777777" w:rsidR="003317AE" w:rsidRPr="003317AE" w:rsidRDefault="003317AE" w:rsidP="003317AE">
      <w:pPr>
        <w:tabs>
          <w:tab w:val="left" w:pos="900"/>
        </w:tabs>
        <w:spacing w:after="0" w:line="240" w:lineRule="auto"/>
        <w:rPr>
          <w:rFonts w:eastAsiaTheme="minorHAnsi"/>
          <w:lang w:val="en-US"/>
        </w:rPr>
      </w:pPr>
      <w:r w:rsidRPr="003317AE">
        <w:rPr>
          <w:rFonts w:eastAsiaTheme="minorHAnsi"/>
          <w:lang w:val="en-US"/>
        </w:rPr>
        <w:t xml:space="preserve">The geochemical methodology is so poorly described, the reader is left speculating about what Goren et al. (2004) did. Presumably the elements being excluded are elements that fell below the level of detection. It is unclear if different elements are being excluded from different analyses. Comparing table 3-1 with other </w:t>
      </w:r>
      <w:r w:rsidRPr="003317AE">
        <w:rPr>
          <w:rFonts w:eastAsiaTheme="minorHAnsi"/>
          <w:lang w:val="en-US"/>
        </w:rPr>
        <w:lastRenderedPageBreak/>
        <w:t>tables in the report suggests a certain level of inconsistency in the elements being included for different analyses. The authors cannot address the issue that the absence of trace elements may be provenance diagnostic, because they can’t verify if elements are below the level of detection due to inadequate sample size or because of primary depositional absence. The way this methodology statement reads, it could be concluded that the analyses might have been rejected because they did not fit preconceived interpretations.</w:t>
      </w:r>
    </w:p>
    <w:p w14:paraId="5E587786" w14:textId="77777777" w:rsidR="003317AE" w:rsidRPr="003317AE" w:rsidRDefault="003317AE" w:rsidP="003317AE">
      <w:pPr>
        <w:tabs>
          <w:tab w:val="left" w:pos="900"/>
        </w:tabs>
        <w:spacing w:after="0" w:line="240" w:lineRule="auto"/>
        <w:rPr>
          <w:rFonts w:eastAsiaTheme="minorHAnsi"/>
          <w:lang w:val="en-US"/>
        </w:rPr>
      </w:pPr>
    </w:p>
    <w:p w14:paraId="02EE4865" w14:textId="77777777" w:rsidR="003317AE" w:rsidRPr="003317AE" w:rsidRDefault="003317AE" w:rsidP="003317AE">
      <w:pPr>
        <w:tabs>
          <w:tab w:val="left" w:pos="900"/>
        </w:tabs>
        <w:spacing w:after="0" w:line="240" w:lineRule="auto"/>
        <w:rPr>
          <w:rFonts w:eastAsiaTheme="minorHAnsi"/>
          <w:lang w:val="en-US"/>
        </w:rPr>
      </w:pPr>
      <w:r w:rsidRPr="003317AE">
        <w:rPr>
          <w:rFonts w:eastAsiaTheme="minorHAnsi"/>
          <w:lang w:val="en-US"/>
        </w:rPr>
        <w:t>Goren et al. (2011) clearly state that they remove elements from the database that are below the level of detection (LOD). Being below the LOD is a datum point. It means that a particular element (or more typically a suite of elements) is not present in the analysis. Tablets with and without these elements are therefore likely to have different provenance. Excluding this information from the database potentially changes the outcome of the statistical analysis based on this data.</w:t>
      </w:r>
    </w:p>
    <w:p w14:paraId="0A5BEFB6" w14:textId="77777777" w:rsidR="003317AE" w:rsidRPr="003317AE" w:rsidRDefault="003317AE" w:rsidP="003317AE">
      <w:pPr>
        <w:tabs>
          <w:tab w:val="left" w:pos="900"/>
        </w:tabs>
        <w:spacing w:after="0" w:line="240" w:lineRule="auto"/>
        <w:rPr>
          <w:rFonts w:eastAsiaTheme="minorHAnsi"/>
          <w:lang w:val="en-US"/>
        </w:rPr>
      </w:pPr>
    </w:p>
    <w:p w14:paraId="0407C242" w14:textId="77777777" w:rsidR="003317AE" w:rsidRPr="003317AE" w:rsidRDefault="003317AE" w:rsidP="003317AE">
      <w:pPr>
        <w:tabs>
          <w:tab w:val="left" w:pos="900"/>
        </w:tabs>
        <w:spacing w:after="0" w:line="240" w:lineRule="auto"/>
        <w:rPr>
          <w:rFonts w:eastAsiaTheme="minorHAnsi"/>
          <w:lang w:val="en-US"/>
        </w:rPr>
      </w:pPr>
      <w:r w:rsidRPr="003317AE">
        <w:rPr>
          <w:rFonts w:eastAsiaTheme="minorHAnsi"/>
          <w:lang w:val="en-US"/>
        </w:rPr>
        <w:t xml:space="preserve">Developing a nondestructive trace element analytical petrographic method would be a tremendous advance for provenance determinations. It would allow more vessels to be tested quickly and cheaply. The portable X-ray diffraction analyser is just one of several technologies that have been been developed and are in widespread use in mining and mineral exploration, materials testing, factory materials quality control, and other similar applications. It was encouraging to see Goren et al (2011) testing one of these technologies to determine its usefulness for provenance determination. Unfortunately, Goren and coworkers’ testing methodology was seriously flawed, and raised more questions that it answered regarding the usefulness of the technology for his objective. </w:t>
      </w:r>
    </w:p>
    <w:p w14:paraId="38B41DBB" w14:textId="77777777" w:rsidR="003317AE" w:rsidRPr="003317AE" w:rsidRDefault="003317AE" w:rsidP="003317AE">
      <w:pPr>
        <w:tabs>
          <w:tab w:val="left" w:pos="900"/>
        </w:tabs>
        <w:spacing w:after="0" w:line="240" w:lineRule="auto"/>
        <w:rPr>
          <w:rFonts w:eastAsiaTheme="minorHAnsi"/>
          <w:lang w:val="en-US"/>
        </w:rPr>
      </w:pPr>
    </w:p>
    <w:p w14:paraId="70E56F9E" w14:textId="77777777" w:rsidR="003317AE" w:rsidRPr="003317AE" w:rsidRDefault="003317AE" w:rsidP="003317AE">
      <w:pPr>
        <w:tabs>
          <w:tab w:val="left" w:pos="900"/>
        </w:tabs>
        <w:spacing w:after="0" w:line="240" w:lineRule="auto"/>
        <w:rPr>
          <w:rFonts w:eastAsiaTheme="minorHAnsi"/>
          <w:lang w:val="en-US"/>
        </w:rPr>
      </w:pPr>
      <w:r w:rsidRPr="003317AE">
        <w:rPr>
          <w:rFonts w:eastAsiaTheme="minorHAnsi"/>
          <w:lang w:val="en-US"/>
        </w:rPr>
        <w:t>Goren used the Niton™ XL3t GOLDD+ XRF Analyzer</w:t>
      </w:r>
      <w:r w:rsidRPr="003317AE">
        <w:rPr>
          <w:rFonts w:eastAsiaTheme="minorHAnsi"/>
          <w:vertAlign w:val="superscript"/>
          <w:lang w:val="en-US"/>
        </w:rPr>
        <w:footnoteReference w:id="61"/>
      </w:r>
      <w:r w:rsidRPr="003317AE">
        <w:rPr>
          <w:rFonts w:eastAsiaTheme="minorHAnsi"/>
          <w:lang w:val="en-US"/>
        </w:rPr>
        <w:t xml:space="preserve">. In 2013, I used a similar product made by this manufacturer during a copper exploration program in Afghanistan. These devices have several preprogramed analytical algorithms designed to optimize analytical efficiency for the intended application. Goren et al. (2011) used the mining and minerals setting which is likely the most appropriate, but not the only setting, available. Goren had the opportunity to test the capabilities of this instrument and presumably had access to comparative NAA data for </w:t>
      </w:r>
      <w:r w:rsidRPr="003317AE">
        <w:rPr>
          <w:rFonts w:eastAsiaTheme="minorHAnsi"/>
          <w:lang w:val="en-US"/>
        </w:rPr>
        <w:lastRenderedPageBreak/>
        <w:t xml:space="preserve">the tablets that he tested. When a new technology is introduced a full range of tests would ordinarily be performed to define best practice standard operating procedure. For this instrument, one might expect that the initial procedural testing would be done on a great many different places on each tablet, perhaps 10 to 20, maybe even more places in order to determine the optimal number of sample sites that should be analysed per tablet to provide stable average analyses. ThermoFisher provides recommended minimum run times for each analysis. It would have been wise to test whether longer run times would provide more accurate analyses. The Niton™ I used in the field had 4 preprogrammed analytical algorithms. The instrument used by Goren likely had a similar number. It would have been wise to test all of the algorithms to see how the results differ and to see if different algorithms yielded better analyses for different suites of trace elements. These are the kinds of experiments that would be run to establish best practice. Goren and coworkers did not do this. They did three analyses per tablet at various combinations of recommended settings, declared a successful outcome, and then went on to use the results to discuss provenance groups. They did not even compare their results to the existing NAA data. </w:t>
      </w:r>
    </w:p>
    <w:p w14:paraId="2CF7EDCC" w14:textId="77777777" w:rsidR="003317AE" w:rsidRPr="003317AE" w:rsidRDefault="003317AE" w:rsidP="003317AE">
      <w:pPr>
        <w:tabs>
          <w:tab w:val="left" w:pos="900"/>
        </w:tabs>
        <w:spacing w:after="0" w:line="240" w:lineRule="auto"/>
        <w:rPr>
          <w:rFonts w:eastAsiaTheme="minorHAnsi"/>
          <w:lang w:val="en-US"/>
        </w:rPr>
      </w:pPr>
    </w:p>
    <w:p w14:paraId="3E6A6614" w14:textId="77777777" w:rsidR="003317AE" w:rsidRPr="003317AE" w:rsidRDefault="003317AE" w:rsidP="003317AE">
      <w:pPr>
        <w:tabs>
          <w:tab w:val="left" w:pos="900"/>
        </w:tabs>
        <w:spacing w:after="0" w:line="240" w:lineRule="auto"/>
        <w:rPr>
          <w:rFonts w:eastAsiaTheme="minorHAnsi"/>
          <w:lang w:val="en-US"/>
        </w:rPr>
      </w:pPr>
      <w:r w:rsidRPr="003317AE">
        <w:rPr>
          <w:rFonts w:eastAsiaTheme="minorHAnsi"/>
          <w:lang w:val="en-US"/>
        </w:rPr>
        <w:t xml:space="preserve">According to conversations I have had with U. S. Geological Survey (USGS) chemists who routinely use x-ray diffraction in the lab, very low concentrations of some trace elements, especially in complex materials like rocks (or pottery clay) can confuse the algorithm, thus yielding less accurate results. For the work we did in Afghanistan, USGS provided a number of helpful suggestions that significantly improved the performance of our instrument under the conditions we were testing. The Niton™ can nominally analyze for as many as 30 elements. Goren and coworkers, by the time they eliminate the elements that are below the LOD and elements that are likely to be external contaminants unrelated to provenance, only 14 elements remain for their analysis, and of these, only 7 can be considered trace (V, Cr, Ni, Rb, Sr, Zr, Nb). For the small subset of tablets tested, these may have shown sufficient differences in concentration that allowed discrimination into well-defined groups, but with larger datasets there would likely be too much overlap for effective discrimination. </w:t>
      </w:r>
    </w:p>
    <w:p w14:paraId="12DAE53C" w14:textId="77777777" w:rsidR="003317AE" w:rsidRPr="003317AE" w:rsidRDefault="003317AE" w:rsidP="003317AE">
      <w:pPr>
        <w:tabs>
          <w:tab w:val="left" w:pos="900"/>
        </w:tabs>
        <w:spacing w:after="0" w:line="240" w:lineRule="auto"/>
        <w:rPr>
          <w:rFonts w:eastAsiaTheme="minorHAnsi"/>
          <w:lang w:val="en-US"/>
        </w:rPr>
      </w:pPr>
    </w:p>
    <w:p w14:paraId="7298EBB6" w14:textId="77777777" w:rsidR="003317AE" w:rsidRPr="003317AE" w:rsidRDefault="003317AE" w:rsidP="003317AE">
      <w:pPr>
        <w:tabs>
          <w:tab w:val="left" w:pos="900"/>
        </w:tabs>
        <w:spacing w:after="0" w:line="240" w:lineRule="auto"/>
        <w:rPr>
          <w:rFonts w:eastAsiaTheme="minorHAnsi"/>
          <w:lang w:val="en-US"/>
        </w:rPr>
      </w:pPr>
      <w:r w:rsidRPr="003317AE">
        <w:rPr>
          <w:rFonts w:eastAsiaTheme="minorHAnsi"/>
          <w:lang w:val="en-US"/>
        </w:rPr>
        <w:lastRenderedPageBreak/>
        <w:t>Goren et al. (2004) make the statement: “In most cases the elemental analyses supplied sufficiently accurate data.</w:t>
      </w:r>
      <w:r w:rsidRPr="003317AE">
        <w:rPr>
          <w:rFonts w:eastAsiaTheme="minorHAnsi"/>
          <w:vertAlign w:val="superscript"/>
          <w:lang w:val="en-US"/>
        </w:rPr>
        <w:footnoteReference w:id="62"/>
      </w:r>
      <w:r w:rsidRPr="003317AE">
        <w:rPr>
          <w:rFonts w:eastAsiaTheme="minorHAnsi"/>
          <w:lang w:val="en-US"/>
        </w:rPr>
        <w:t>” On what basis do they make this statement? They provide no evidence to support this assertion. The authors discuss the “precision” of the analyses as if it is a fundamental verifier of the quality of the data set. Knowing the degree of error that is associated with a particular analytical result is useful information that should be included with the data table. The discussion of this information in the methodology section is irrelevant and seems to have been included to give the impression that the underlying data are of high quality (which they are not). Do the authors understand that even though the results may be very precise, that does not make them accurate? Precision is a measure of how similar multiple analyses of a sample are to one another, NOT an indication that the analytical results are “correct.”</w:t>
      </w:r>
    </w:p>
    <w:p w14:paraId="6F9798CE" w14:textId="77777777" w:rsidR="003317AE" w:rsidRPr="003317AE" w:rsidRDefault="003317AE" w:rsidP="003317AE">
      <w:pPr>
        <w:tabs>
          <w:tab w:val="left" w:pos="900"/>
        </w:tabs>
        <w:spacing w:after="0" w:line="240" w:lineRule="auto"/>
        <w:rPr>
          <w:rFonts w:eastAsiaTheme="minorHAnsi"/>
          <w:lang w:val="en-US"/>
        </w:rPr>
      </w:pPr>
    </w:p>
    <w:p w14:paraId="25CE020F" w14:textId="77777777" w:rsidR="003317AE" w:rsidRPr="003317AE" w:rsidRDefault="003317AE" w:rsidP="003317AE">
      <w:pPr>
        <w:tabs>
          <w:tab w:val="left" w:pos="900"/>
        </w:tabs>
        <w:spacing w:after="0" w:line="240" w:lineRule="auto"/>
        <w:rPr>
          <w:rFonts w:eastAsiaTheme="minorHAnsi"/>
          <w:lang w:val="en-US"/>
        </w:rPr>
      </w:pPr>
      <w:r w:rsidRPr="003317AE">
        <w:rPr>
          <w:rFonts w:eastAsiaTheme="minorHAnsi"/>
          <w:lang w:val="en-US"/>
        </w:rPr>
        <w:t>The authors provide an extended discussion of geochemical issues in their statistics section. This discussion is rife with inaccuracies and irrelevant information. The authors state: “One of the shortcomings of ICP for ceramic characterization studies is the deficiency of a database of standards, such as in the case of NAA studies of pottery. Chemical compositions of clay sources collected by other methods often proved to be insufficient, since they included only major and sometimes also minor elements but not traces.</w:t>
      </w:r>
      <w:r w:rsidRPr="003317AE">
        <w:rPr>
          <w:rFonts w:eastAsiaTheme="minorHAnsi"/>
          <w:vertAlign w:val="superscript"/>
          <w:lang w:val="en-US"/>
        </w:rPr>
        <w:footnoteReference w:id="63"/>
      </w:r>
      <w:r w:rsidRPr="003317AE">
        <w:rPr>
          <w:rFonts w:eastAsiaTheme="minorHAnsi"/>
          <w:lang w:val="en-US"/>
        </w:rPr>
        <w:t xml:space="preserve">” If the authors have no provenance standards to compare their data with, how can they be so certain of their provenance assignments? </w:t>
      </w:r>
    </w:p>
    <w:p w14:paraId="6B31D097" w14:textId="77777777" w:rsidR="003317AE" w:rsidRPr="003317AE" w:rsidRDefault="003317AE" w:rsidP="003317AE">
      <w:pPr>
        <w:tabs>
          <w:tab w:val="left" w:pos="900"/>
        </w:tabs>
        <w:spacing w:after="0" w:line="240" w:lineRule="auto"/>
        <w:rPr>
          <w:rFonts w:eastAsiaTheme="minorHAnsi"/>
          <w:lang w:val="en-US"/>
        </w:rPr>
      </w:pPr>
    </w:p>
    <w:p w14:paraId="711C1435" w14:textId="77777777" w:rsidR="003317AE" w:rsidRPr="003317AE" w:rsidRDefault="003317AE" w:rsidP="003317AE">
      <w:pPr>
        <w:tabs>
          <w:tab w:val="left" w:pos="900"/>
        </w:tabs>
        <w:spacing w:after="0" w:line="240" w:lineRule="auto"/>
        <w:rPr>
          <w:rFonts w:eastAsiaTheme="minorHAnsi"/>
          <w:lang w:val="en-US"/>
        </w:rPr>
      </w:pPr>
      <w:r w:rsidRPr="003317AE">
        <w:rPr>
          <w:rFonts w:eastAsiaTheme="minorHAnsi"/>
          <w:lang w:val="en-US"/>
        </w:rPr>
        <w:t>Paragraph 2 under the “Statistics” section (page 19) is filled with inaccurate and very confused geochemical observations that, as written, strongly suggest that Goren et al. (2004) do not understand basic geochemical principles. The authors state: “[It] is well known from the geochemical literature, Ca is often associated with elements such as Sr and Ba.</w:t>
      </w:r>
      <w:r w:rsidRPr="003317AE">
        <w:rPr>
          <w:rFonts w:eastAsiaTheme="minorHAnsi"/>
          <w:vertAlign w:val="superscript"/>
          <w:lang w:val="en-US"/>
        </w:rPr>
        <w:footnoteReference w:id="64"/>
      </w:r>
      <w:r w:rsidRPr="003317AE">
        <w:rPr>
          <w:rFonts w:eastAsiaTheme="minorHAnsi"/>
          <w:lang w:val="en-US"/>
        </w:rPr>
        <w:t xml:space="preserve">” The statement is partially true, but also completely irrelevant. Mg is also closely correlated to Ca. Why was Mg not included in this list of associated elements? Perhaps if Goren et al. (2004) explained why they made this particular observation the reader might understand why the authors think this observation is significant. These three elements may associate, but their </w:t>
      </w:r>
      <w:r w:rsidRPr="003317AE">
        <w:rPr>
          <w:rFonts w:eastAsiaTheme="minorHAnsi"/>
          <w:lang w:val="en-US"/>
        </w:rPr>
        <w:lastRenderedPageBreak/>
        <w:t xml:space="preserve">proportions relative to one another can still be diagnostic of different provenance (Stanienda-Pilecki 2016). </w:t>
      </w:r>
    </w:p>
    <w:p w14:paraId="5D40300F" w14:textId="77777777" w:rsidR="003317AE" w:rsidRPr="003317AE" w:rsidRDefault="003317AE" w:rsidP="003317AE">
      <w:pPr>
        <w:tabs>
          <w:tab w:val="left" w:pos="900"/>
        </w:tabs>
        <w:spacing w:after="0" w:line="240" w:lineRule="auto"/>
        <w:rPr>
          <w:rFonts w:eastAsiaTheme="minorHAnsi"/>
          <w:lang w:val="en-US"/>
        </w:rPr>
      </w:pPr>
    </w:p>
    <w:p w14:paraId="0280A491" w14:textId="77777777" w:rsidR="003317AE" w:rsidRPr="003317AE" w:rsidRDefault="003317AE" w:rsidP="003317AE">
      <w:pPr>
        <w:tabs>
          <w:tab w:val="left" w:pos="900"/>
        </w:tabs>
        <w:spacing w:after="0" w:line="240" w:lineRule="auto"/>
        <w:rPr>
          <w:rFonts w:eastAsiaTheme="minorHAnsi"/>
          <w:lang w:val="en-US"/>
        </w:rPr>
      </w:pPr>
      <w:r w:rsidRPr="003317AE">
        <w:rPr>
          <w:rFonts w:eastAsiaTheme="minorHAnsi"/>
          <w:lang w:val="en-US"/>
        </w:rPr>
        <w:t>Goren et al. (2004) state: “Iron, Sc and other transition metals usually exhibit highly</w:t>
      </w:r>
    </w:p>
    <w:p w14:paraId="1C35FE7C" w14:textId="10C9FC2D" w:rsidR="003317AE" w:rsidRPr="003317AE" w:rsidRDefault="003317AE" w:rsidP="003317AE">
      <w:pPr>
        <w:tabs>
          <w:tab w:val="left" w:pos="900"/>
        </w:tabs>
        <w:spacing w:after="0" w:line="240" w:lineRule="auto"/>
        <w:rPr>
          <w:rFonts w:eastAsiaTheme="minorHAnsi"/>
          <w:lang w:val="en-US"/>
        </w:rPr>
      </w:pPr>
      <w:r w:rsidRPr="003317AE">
        <w:rPr>
          <w:rFonts w:eastAsiaTheme="minorHAnsi"/>
          <w:lang w:val="en-US"/>
        </w:rPr>
        <w:t>correlated relationships.</w:t>
      </w:r>
      <w:r w:rsidRPr="003317AE">
        <w:rPr>
          <w:rFonts w:eastAsiaTheme="minorHAnsi"/>
          <w:vertAlign w:val="superscript"/>
          <w:lang w:val="en-US"/>
        </w:rPr>
        <w:footnoteReference w:id="65"/>
      </w:r>
      <w:r w:rsidRPr="003317AE">
        <w:rPr>
          <w:rFonts w:eastAsiaTheme="minorHAnsi"/>
          <w:lang w:val="en-US"/>
        </w:rPr>
        <w:t xml:space="preserve">” With this statement, the authors demonstrate that they have no conception </w:t>
      </w:r>
      <w:r w:rsidR="00642BC4">
        <w:rPr>
          <w:rFonts w:eastAsiaTheme="minorHAnsi"/>
          <w:lang w:val="en-US"/>
        </w:rPr>
        <w:t xml:space="preserve">of </w:t>
      </w:r>
      <w:r w:rsidRPr="003317AE">
        <w:rPr>
          <w:rFonts w:eastAsiaTheme="minorHAnsi"/>
          <w:lang w:val="en-US"/>
        </w:rPr>
        <w:t>how the elements of the periodic chart behave in natural systems. What do they mean by correlated relationships? They provide no examples to support or explain this statement. Basic mining geology proves this statement to be completely wrong. Take a simple example— copper deposits. If the transition metals all had correlated relationships, then all of the world’s copper mines should produce the same suite of metals. This is not the case. Some copper mines also produce gold, some gold and silver, some gold and cobalt, some contain molybdenum, zinc, lead and/or arsenic, and some have just copper. It all depends on how and where they formed (Cox and Singer 1992, among others)</w:t>
      </w:r>
    </w:p>
    <w:p w14:paraId="5E708A2D" w14:textId="77777777" w:rsidR="003317AE" w:rsidRPr="003317AE" w:rsidRDefault="003317AE" w:rsidP="003317AE">
      <w:pPr>
        <w:tabs>
          <w:tab w:val="left" w:pos="900"/>
        </w:tabs>
        <w:spacing w:after="0" w:line="240" w:lineRule="auto"/>
        <w:rPr>
          <w:rFonts w:eastAsiaTheme="minorHAnsi"/>
          <w:lang w:val="en-US"/>
        </w:rPr>
      </w:pPr>
    </w:p>
    <w:p w14:paraId="1E71DADC" w14:textId="77777777" w:rsidR="003317AE" w:rsidRPr="003317AE" w:rsidRDefault="003317AE" w:rsidP="003317AE">
      <w:pPr>
        <w:tabs>
          <w:tab w:val="left" w:pos="900"/>
        </w:tabs>
        <w:spacing w:after="0" w:line="240" w:lineRule="auto"/>
        <w:rPr>
          <w:rFonts w:eastAsiaTheme="minorHAnsi"/>
          <w:lang w:val="en-US"/>
        </w:rPr>
      </w:pPr>
      <w:r w:rsidRPr="003317AE">
        <w:rPr>
          <w:rFonts w:eastAsiaTheme="minorHAnsi"/>
          <w:lang w:val="en-US"/>
        </w:rPr>
        <w:t>Goren et al. (2004) then state: “In pottery, negative correlations often occur between Ca and Si, or Al and Si, as a result of the dilution of clay elements with those of the non-plastic components.</w:t>
      </w:r>
      <w:r w:rsidRPr="003317AE">
        <w:rPr>
          <w:rFonts w:eastAsiaTheme="minorHAnsi"/>
          <w:vertAlign w:val="superscript"/>
          <w:lang w:val="en-US"/>
        </w:rPr>
        <w:footnoteReference w:id="66"/>
      </w:r>
      <w:r w:rsidRPr="003317AE">
        <w:rPr>
          <w:rFonts w:eastAsiaTheme="minorHAnsi"/>
          <w:lang w:val="en-US"/>
        </w:rPr>
        <w:t>” The authors do not reference the basis for these statements, and the statement explaining the observed relationships is either inconsistent with mineral chemistry fact or incorrect depending on which element pair is being considered. This monograph is focused on the provenance of clay tablets. Regarding the first part of the statement in which a negative correlation is said to exist between Ca and Si, the authors state that “marls</w:t>
      </w:r>
      <w:r w:rsidRPr="003317AE">
        <w:rPr>
          <w:rFonts w:eastAsiaTheme="minorHAnsi"/>
          <w:vertAlign w:val="superscript"/>
          <w:lang w:val="en-US"/>
        </w:rPr>
        <w:footnoteReference w:id="67"/>
      </w:r>
      <w:r w:rsidRPr="003317AE">
        <w:rPr>
          <w:rFonts w:eastAsiaTheme="minorHAnsi"/>
          <w:lang w:val="en-US"/>
        </w:rPr>
        <w:t xml:space="preserve">” are typically used to manufacture the tablets, and that the correlation between Ca and Si in a marl is determined by the proportion of carbonate to clay fractions in the marl. By definition, however, marl is an “intimate mixture of clay and particles of calcite or dolomite” (AGI 1962),  so why do the authors ignore Mg in this discussion? The substitution of Mg for Ca (i.e. the degree of dolomitization of the marl) will also affect the Ca-Si proportions. The addition of temper will further modify these relationships. </w:t>
      </w:r>
    </w:p>
    <w:p w14:paraId="10E5DCBA" w14:textId="77777777" w:rsidR="003317AE" w:rsidRPr="003317AE" w:rsidRDefault="003317AE" w:rsidP="003317AE">
      <w:pPr>
        <w:tabs>
          <w:tab w:val="left" w:pos="900"/>
        </w:tabs>
        <w:spacing w:after="0" w:line="240" w:lineRule="auto"/>
        <w:rPr>
          <w:rFonts w:eastAsiaTheme="minorHAnsi"/>
          <w:lang w:val="en-US"/>
        </w:rPr>
      </w:pPr>
    </w:p>
    <w:p w14:paraId="5D5184E4" w14:textId="77777777" w:rsidR="003317AE" w:rsidRPr="003317AE" w:rsidRDefault="003317AE" w:rsidP="003317AE">
      <w:pPr>
        <w:tabs>
          <w:tab w:val="left" w:pos="900"/>
        </w:tabs>
        <w:spacing w:after="0" w:line="240" w:lineRule="auto"/>
        <w:rPr>
          <w:rFonts w:eastAsiaTheme="minorHAnsi"/>
          <w:lang w:val="en-US"/>
        </w:rPr>
      </w:pPr>
      <w:r w:rsidRPr="003317AE">
        <w:rPr>
          <w:rFonts w:eastAsiaTheme="minorHAnsi"/>
          <w:lang w:val="en-US"/>
        </w:rPr>
        <w:lastRenderedPageBreak/>
        <w:t xml:space="preserve">The second part of the statement— that there is a negative relationship between Al and Si— is even more difficult to defend. Clay is an aluminosilicate. By definition the relationship between Al and Si is determined by the formula of the clay mineral(s) present. An extraordinary amount of temper would have to be added to make major changes to the Al-Si ratios, and most minerals also contain Al and Si in their crystals, so the tablet maker would have to be very specific about the choice of temper to significantly alter the Al:Si element ratios. </w:t>
      </w:r>
    </w:p>
    <w:p w14:paraId="1B63F6F2" w14:textId="77777777" w:rsidR="003317AE" w:rsidRPr="003317AE" w:rsidRDefault="003317AE" w:rsidP="003317AE">
      <w:pPr>
        <w:tabs>
          <w:tab w:val="left" w:pos="900"/>
        </w:tabs>
        <w:spacing w:after="0" w:line="240" w:lineRule="auto"/>
        <w:rPr>
          <w:rFonts w:eastAsiaTheme="minorHAnsi"/>
          <w:lang w:val="en-US"/>
        </w:rPr>
      </w:pPr>
    </w:p>
    <w:p w14:paraId="65056CC4" w14:textId="77777777" w:rsidR="003317AE" w:rsidRPr="003317AE" w:rsidRDefault="003317AE" w:rsidP="003317AE">
      <w:pPr>
        <w:tabs>
          <w:tab w:val="left" w:pos="900"/>
        </w:tabs>
        <w:spacing w:after="0" w:line="240" w:lineRule="auto"/>
        <w:rPr>
          <w:rFonts w:eastAsiaTheme="minorHAnsi"/>
          <w:lang w:val="en-US"/>
        </w:rPr>
      </w:pPr>
      <w:r w:rsidRPr="003317AE">
        <w:rPr>
          <w:rFonts w:eastAsiaTheme="minorHAnsi"/>
          <w:lang w:val="en-US"/>
        </w:rPr>
        <w:t>Goren et al. (2004) state: “It is also known that rare earth elements (REE) are commonly correlated.</w:t>
      </w:r>
      <w:r w:rsidRPr="003317AE">
        <w:rPr>
          <w:rFonts w:eastAsiaTheme="minorHAnsi"/>
          <w:vertAlign w:val="superscript"/>
          <w:lang w:val="en-US"/>
        </w:rPr>
        <w:footnoteReference w:id="68"/>
      </w:r>
      <w:r w:rsidRPr="003317AE">
        <w:rPr>
          <w:rFonts w:eastAsiaTheme="minorHAnsi"/>
          <w:lang w:val="en-US"/>
        </w:rPr>
        <w:t>” The authors do not explain the significance of this statement to the present study. This information is irrelevant, because the nature of the correlations between various REEs is determined by the geochemical processes that formed the source rocks from which the REEs are derived, so the proportions and correlations are very diagnostic of provenance (for example see Temple and Walsh 1994; Bounouira et al. 2007; Randive et al. 2014; Koç et al. 2016; among many others).</w:t>
      </w:r>
    </w:p>
    <w:p w14:paraId="1C2A86A7" w14:textId="77777777" w:rsidR="003317AE" w:rsidRPr="003317AE" w:rsidRDefault="003317AE" w:rsidP="003317AE">
      <w:pPr>
        <w:tabs>
          <w:tab w:val="left" w:pos="900"/>
        </w:tabs>
        <w:spacing w:after="0" w:line="240" w:lineRule="auto"/>
        <w:rPr>
          <w:rFonts w:eastAsiaTheme="minorHAnsi"/>
          <w:lang w:val="en-US"/>
        </w:rPr>
      </w:pPr>
    </w:p>
    <w:p w14:paraId="267C7A47" w14:textId="77777777" w:rsidR="003317AE" w:rsidRPr="003317AE" w:rsidRDefault="003317AE" w:rsidP="003317AE">
      <w:pPr>
        <w:tabs>
          <w:tab w:val="left" w:pos="900"/>
        </w:tabs>
        <w:spacing w:after="0" w:line="240" w:lineRule="auto"/>
        <w:rPr>
          <w:rFonts w:eastAsiaTheme="minorHAnsi"/>
          <w:lang w:val="en-US"/>
        </w:rPr>
      </w:pPr>
      <w:r w:rsidRPr="003317AE">
        <w:rPr>
          <w:rFonts w:eastAsiaTheme="minorHAnsi"/>
          <w:lang w:val="en-US"/>
        </w:rPr>
        <w:t>The third paragraph under “Statistics” is filled with more errors and basic chemistry misunderstandings. SiO</w:t>
      </w:r>
      <w:r w:rsidRPr="003317AE">
        <w:rPr>
          <w:rFonts w:eastAsiaTheme="minorHAnsi"/>
          <w:vertAlign w:val="subscript"/>
          <w:lang w:val="en-US"/>
        </w:rPr>
        <w:t>2</w:t>
      </w:r>
      <w:r w:rsidRPr="003317AE">
        <w:rPr>
          <w:rFonts w:eastAsiaTheme="minorHAnsi"/>
          <w:lang w:val="en-US"/>
        </w:rPr>
        <w:t>, Al</w:t>
      </w:r>
      <w:r w:rsidRPr="003317AE">
        <w:rPr>
          <w:rFonts w:eastAsiaTheme="minorHAnsi"/>
          <w:vertAlign w:val="subscript"/>
          <w:lang w:val="en-US"/>
        </w:rPr>
        <w:t>2</w:t>
      </w:r>
      <w:r w:rsidRPr="003317AE">
        <w:rPr>
          <w:rFonts w:eastAsiaTheme="minorHAnsi"/>
          <w:lang w:val="en-US"/>
        </w:rPr>
        <w:t>O</w:t>
      </w:r>
      <w:r w:rsidRPr="003317AE">
        <w:rPr>
          <w:rFonts w:eastAsiaTheme="minorHAnsi"/>
          <w:vertAlign w:val="subscript"/>
          <w:lang w:val="en-US"/>
        </w:rPr>
        <w:t>3</w:t>
      </w:r>
      <w:r w:rsidRPr="003317AE">
        <w:rPr>
          <w:rFonts w:eastAsiaTheme="minorHAnsi"/>
          <w:lang w:val="en-US"/>
        </w:rPr>
        <w:t>, Fe</w:t>
      </w:r>
      <w:r w:rsidRPr="003317AE">
        <w:rPr>
          <w:rFonts w:eastAsiaTheme="minorHAnsi"/>
          <w:vertAlign w:val="subscript"/>
          <w:lang w:val="en-US"/>
        </w:rPr>
        <w:t>2</w:t>
      </w:r>
      <w:r w:rsidRPr="003317AE">
        <w:rPr>
          <w:rFonts w:eastAsiaTheme="minorHAnsi"/>
          <w:lang w:val="en-US"/>
        </w:rPr>
        <w:t>O</w:t>
      </w:r>
      <w:r w:rsidRPr="003317AE">
        <w:rPr>
          <w:rFonts w:eastAsiaTheme="minorHAnsi"/>
          <w:vertAlign w:val="subscript"/>
          <w:lang w:val="en-US"/>
        </w:rPr>
        <w:t>3</w:t>
      </w:r>
      <w:r w:rsidRPr="003317AE">
        <w:rPr>
          <w:rFonts w:eastAsiaTheme="minorHAnsi"/>
          <w:lang w:val="en-US"/>
        </w:rPr>
        <w:t>, TiO</w:t>
      </w:r>
      <w:r w:rsidRPr="003317AE">
        <w:rPr>
          <w:rFonts w:eastAsiaTheme="minorHAnsi"/>
          <w:vertAlign w:val="subscript"/>
          <w:lang w:val="en-US"/>
        </w:rPr>
        <w:t>2</w:t>
      </w:r>
      <w:r w:rsidRPr="003317AE">
        <w:rPr>
          <w:rFonts w:eastAsiaTheme="minorHAnsi"/>
          <w:lang w:val="en-US"/>
        </w:rPr>
        <w:t>, P</w:t>
      </w:r>
      <w:r w:rsidRPr="003317AE">
        <w:rPr>
          <w:rFonts w:eastAsiaTheme="minorHAnsi"/>
          <w:vertAlign w:val="subscript"/>
          <w:lang w:val="en-US"/>
        </w:rPr>
        <w:t>2</w:t>
      </w:r>
      <w:r w:rsidRPr="003317AE">
        <w:rPr>
          <w:rFonts w:eastAsiaTheme="minorHAnsi"/>
          <w:lang w:val="en-US"/>
        </w:rPr>
        <w:t>O</w:t>
      </w:r>
      <w:r w:rsidRPr="003317AE">
        <w:rPr>
          <w:rFonts w:eastAsiaTheme="minorHAnsi"/>
          <w:vertAlign w:val="subscript"/>
          <w:lang w:val="en-US"/>
        </w:rPr>
        <w:t>5</w:t>
      </w:r>
      <w:r w:rsidRPr="003317AE">
        <w:rPr>
          <w:rFonts w:eastAsiaTheme="minorHAnsi"/>
          <w:lang w:val="en-US"/>
        </w:rPr>
        <w:t>, CaO, MgO, and SO</w:t>
      </w:r>
      <w:r w:rsidRPr="003317AE">
        <w:rPr>
          <w:rFonts w:eastAsiaTheme="minorHAnsi"/>
          <w:vertAlign w:val="subscript"/>
          <w:lang w:val="en-US"/>
        </w:rPr>
        <w:t>3</w:t>
      </w:r>
      <w:r w:rsidRPr="003317AE">
        <w:rPr>
          <w:rFonts w:eastAsiaTheme="minorHAnsi"/>
          <w:lang w:val="en-US"/>
        </w:rPr>
        <w:t xml:space="preserve"> are not elements</w:t>
      </w:r>
      <w:r w:rsidRPr="003317AE">
        <w:rPr>
          <w:rFonts w:eastAsiaTheme="minorHAnsi"/>
          <w:vertAlign w:val="superscript"/>
          <w:lang w:val="en-US"/>
        </w:rPr>
        <w:footnoteReference w:id="69"/>
      </w:r>
      <w:r w:rsidRPr="003317AE">
        <w:rPr>
          <w:rFonts w:eastAsiaTheme="minorHAnsi"/>
          <w:lang w:val="en-US"/>
        </w:rPr>
        <w:t>, they are compounds. Most of these happen to be minerals as well.</w:t>
      </w:r>
    </w:p>
    <w:p w14:paraId="106BC5D2" w14:textId="77777777" w:rsidR="003317AE" w:rsidRPr="003317AE" w:rsidRDefault="003317AE" w:rsidP="003317AE">
      <w:pPr>
        <w:tabs>
          <w:tab w:val="left" w:pos="900"/>
        </w:tabs>
        <w:spacing w:after="0" w:line="240" w:lineRule="auto"/>
        <w:rPr>
          <w:rFonts w:eastAsiaTheme="minorHAnsi"/>
          <w:lang w:val="en-US"/>
        </w:rPr>
      </w:pPr>
    </w:p>
    <w:p w14:paraId="1190BC78" w14:textId="77777777" w:rsidR="003317AE" w:rsidRPr="003317AE" w:rsidRDefault="003317AE" w:rsidP="003317AE">
      <w:pPr>
        <w:tabs>
          <w:tab w:val="left" w:pos="900"/>
        </w:tabs>
        <w:spacing w:after="0" w:line="240" w:lineRule="auto"/>
        <w:rPr>
          <w:rFonts w:eastAsiaTheme="minorHAnsi"/>
          <w:lang w:val="en-US"/>
        </w:rPr>
      </w:pPr>
      <w:r w:rsidRPr="003317AE">
        <w:rPr>
          <w:rFonts w:eastAsiaTheme="minorHAnsi"/>
          <w:lang w:val="en-US"/>
        </w:rPr>
        <w:t>Goren et al (2004) state “…in the statistical analyses several elements were omitted due to the risk of bias.</w:t>
      </w:r>
      <w:r w:rsidRPr="003317AE">
        <w:rPr>
          <w:rFonts w:eastAsiaTheme="minorHAnsi"/>
          <w:vertAlign w:val="superscript"/>
          <w:lang w:val="en-US"/>
        </w:rPr>
        <w:footnoteReference w:id="70"/>
      </w:r>
      <w:r w:rsidRPr="003317AE">
        <w:rPr>
          <w:rFonts w:eastAsiaTheme="minorHAnsi"/>
          <w:lang w:val="en-US"/>
        </w:rPr>
        <w:t xml:space="preserve">” They do not tell us which elements are being excluded from the analysis, nor do they definitively say whether these elements are excluded from every analysis or just certain analyses. The authors do not clearly describe which statistical analyses are being performed. Goren (1996) reports the ICP-AES results for only 16 elements. Normally between 30 and 50 elements would be run in this kind of analysis (USGS 2013). No statistical analyses are performed on this reduced data set. Only two element pairs are hand plotted. The author does not explain why he is using such a small element suite or why a more rigorous statistical analysis is not being performed. </w:t>
      </w:r>
    </w:p>
    <w:p w14:paraId="789AFD64" w14:textId="77777777" w:rsidR="003317AE" w:rsidRPr="003317AE" w:rsidRDefault="003317AE" w:rsidP="003317AE">
      <w:pPr>
        <w:tabs>
          <w:tab w:val="left" w:pos="900"/>
        </w:tabs>
        <w:spacing w:after="0" w:line="240" w:lineRule="auto"/>
        <w:rPr>
          <w:rFonts w:eastAsiaTheme="minorHAnsi"/>
          <w:lang w:val="en-US"/>
        </w:rPr>
      </w:pPr>
    </w:p>
    <w:p w14:paraId="6CF7CF33" w14:textId="24D30C24" w:rsidR="003317AE" w:rsidRPr="003317AE" w:rsidRDefault="003317AE" w:rsidP="003317AE">
      <w:pPr>
        <w:tabs>
          <w:tab w:val="left" w:pos="900"/>
        </w:tabs>
        <w:spacing w:after="0" w:line="240" w:lineRule="auto"/>
        <w:rPr>
          <w:rFonts w:eastAsiaTheme="minorHAnsi"/>
          <w:lang w:val="en-US"/>
        </w:rPr>
      </w:pPr>
      <w:bookmarkStart w:id="83" w:name="_Hlk8364753"/>
      <w:r w:rsidRPr="003317AE">
        <w:rPr>
          <w:rFonts w:eastAsiaTheme="minorHAnsi"/>
          <w:lang w:val="en-US"/>
        </w:rPr>
        <w:lastRenderedPageBreak/>
        <w:t>In an attempt to explain their various omissions Goren et al (2004) make a series of inaccurate or incorrect statements. They say: “Several elements, especially those with high ionic charge or ionic radius, are more sensitive to post-depositional processes that may occur in buried ceramics due to their solubility in groundwater.</w:t>
      </w:r>
      <w:r w:rsidRPr="003317AE">
        <w:rPr>
          <w:rFonts w:eastAsiaTheme="minorHAnsi"/>
          <w:vertAlign w:val="superscript"/>
          <w:lang w:val="en-US"/>
        </w:rPr>
        <w:footnoteReference w:id="71"/>
      </w:r>
      <w:r w:rsidRPr="003317AE">
        <w:rPr>
          <w:rFonts w:eastAsiaTheme="minorHAnsi"/>
          <w:lang w:val="en-US"/>
        </w:rPr>
        <w:t xml:space="preserve">” The authors confuse ionic charge with electronegativity. </w:t>
      </w:r>
      <w:bookmarkStart w:id="84" w:name="_Hlk8274150"/>
      <w:r w:rsidRPr="003317AE">
        <w:rPr>
          <w:rFonts w:eastAsiaTheme="minorHAnsi"/>
          <w:lang w:val="en-US"/>
        </w:rPr>
        <w:t xml:space="preserve">An </w:t>
      </w:r>
      <w:r w:rsidR="00552292">
        <w:rPr>
          <w:rFonts w:eastAsiaTheme="minorHAnsi"/>
          <w:lang w:val="en-US"/>
        </w:rPr>
        <w:t>element</w:t>
      </w:r>
      <w:r w:rsidR="00552292" w:rsidRPr="003317AE">
        <w:rPr>
          <w:rFonts w:eastAsiaTheme="minorHAnsi"/>
          <w:lang w:val="en-US"/>
        </w:rPr>
        <w:t xml:space="preserve"> </w:t>
      </w:r>
      <w:r w:rsidRPr="003317AE">
        <w:rPr>
          <w:rFonts w:eastAsiaTheme="minorHAnsi"/>
          <w:lang w:val="en-US"/>
        </w:rPr>
        <w:t>can have a high ionic charge (as most transition metals do) and still be relatively insoluble</w:t>
      </w:r>
      <w:r w:rsidR="00552292">
        <w:rPr>
          <w:rFonts w:eastAsiaTheme="minorHAnsi"/>
          <w:lang w:val="en-US"/>
        </w:rPr>
        <w:t>,</w:t>
      </w:r>
      <w:r w:rsidRPr="003317AE">
        <w:rPr>
          <w:rFonts w:eastAsiaTheme="minorHAnsi"/>
          <w:lang w:val="en-US"/>
        </w:rPr>
        <w:t xml:space="preserve"> because their electronegativity is not great</w:t>
      </w:r>
      <w:r w:rsidR="00A56C9D" w:rsidRPr="00A56C9D">
        <w:rPr>
          <w:color w:val="FF0000"/>
          <w:szCs w:val="24"/>
        </w:rPr>
        <w:t xml:space="preserve"> </w:t>
      </w:r>
      <w:r w:rsidR="00A56C9D" w:rsidRPr="00C2295A">
        <w:rPr>
          <w:color w:val="000000" w:themeColor="text1"/>
          <w:szCs w:val="24"/>
        </w:rPr>
        <w:t xml:space="preserve">and they </w:t>
      </w:r>
      <w:r w:rsidR="00552292" w:rsidRPr="00C2295A">
        <w:rPr>
          <w:color w:val="000000" w:themeColor="text1"/>
          <w:szCs w:val="24"/>
        </w:rPr>
        <w:t xml:space="preserve">are </w:t>
      </w:r>
      <w:r w:rsidR="00A56C9D" w:rsidRPr="00C2295A">
        <w:rPr>
          <w:color w:val="000000" w:themeColor="text1"/>
          <w:szCs w:val="24"/>
        </w:rPr>
        <w:t>bond</w:t>
      </w:r>
      <w:r w:rsidR="00552292" w:rsidRPr="00C2295A">
        <w:rPr>
          <w:color w:val="000000" w:themeColor="text1"/>
          <w:szCs w:val="24"/>
        </w:rPr>
        <w:t>ed</w:t>
      </w:r>
      <w:r w:rsidR="00A56C9D" w:rsidRPr="00C2295A">
        <w:rPr>
          <w:color w:val="000000" w:themeColor="text1"/>
          <w:szCs w:val="24"/>
        </w:rPr>
        <w:t xml:space="preserve"> covalently rather than ionically with </w:t>
      </w:r>
      <w:r w:rsidR="00535D7B" w:rsidRPr="00C2295A">
        <w:rPr>
          <w:color w:val="000000" w:themeColor="text1"/>
          <w:szCs w:val="24"/>
        </w:rPr>
        <w:t>an</w:t>
      </w:r>
      <w:r w:rsidR="00A56C9D" w:rsidRPr="00C2295A">
        <w:rPr>
          <w:color w:val="000000" w:themeColor="text1"/>
          <w:szCs w:val="24"/>
        </w:rPr>
        <w:t xml:space="preserve"> anion</w:t>
      </w:r>
      <w:r w:rsidR="00A56C9D">
        <w:rPr>
          <w:szCs w:val="24"/>
        </w:rPr>
        <w:t>.</w:t>
      </w:r>
      <w:r w:rsidRPr="003317AE">
        <w:rPr>
          <w:rFonts w:eastAsiaTheme="minorHAnsi"/>
          <w:lang w:val="en-US"/>
        </w:rPr>
        <w:t xml:space="preserve"> The iron in Fe</w:t>
      </w:r>
      <w:r w:rsidRPr="003317AE">
        <w:rPr>
          <w:rFonts w:eastAsiaTheme="minorHAnsi"/>
          <w:vertAlign w:val="subscript"/>
          <w:lang w:val="en-US"/>
        </w:rPr>
        <w:t>2</w:t>
      </w:r>
      <w:r w:rsidRPr="003317AE">
        <w:rPr>
          <w:rFonts w:eastAsiaTheme="minorHAnsi"/>
          <w:lang w:val="en-US"/>
        </w:rPr>
        <w:t>O</w:t>
      </w:r>
      <w:r w:rsidRPr="003317AE">
        <w:rPr>
          <w:rFonts w:eastAsiaTheme="minorHAnsi"/>
          <w:vertAlign w:val="subscript"/>
          <w:lang w:val="en-US"/>
        </w:rPr>
        <w:t>3</w:t>
      </w:r>
      <w:r w:rsidRPr="003317AE">
        <w:rPr>
          <w:rFonts w:eastAsiaTheme="minorHAnsi"/>
          <w:lang w:val="en-US"/>
        </w:rPr>
        <w:t xml:space="preserve"> has a high </w:t>
      </w:r>
      <w:r w:rsidR="00C708FC">
        <w:rPr>
          <w:rFonts w:eastAsiaTheme="minorHAnsi"/>
          <w:lang w:val="en-US"/>
        </w:rPr>
        <w:t>positive</w:t>
      </w:r>
      <w:r w:rsidR="00C708FC" w:rsidRPr="003317AE">
        <w:rPr>
          <w:rFonts w:eastAsiaTheme="minorHAnsi"/>
          <w:lang w:val="en-US"/>
        </w:rPr>
        <w:t xml:space="preserve"> </w:t>
      </w:r>
      <w:r w:rsidR="00552292">
        <w:rPr>
          <w:rFonts w:eastAsiaTheme="minorHAnsi"/>
          <w:lang w:val="en-US"/>
        </w:rPr>
        <w:t xml:space="preserve">ionic </w:t>
      </w:r>
      <w:r w:rsidRPr="003317AE">
        <w:rPr>
          <w:rFonts w:eastAsiaTheme="minorHAnsi"/>
          <w:lang w:val="en-US"/>
        </w:rPr>
        <w:t>charge (3</w:t>
      </w:r>
      <w:r w:rsidR="00C708FC">
        <w:rPr>
          <w:rFonts w:eastAsiaTheme="minorHAnsi"/>
          <w:lang w:val="en-US"/>
        </w:rPr>
        <w:t>+</w:t>
      </w:r>
      <w:r w:rsidRPr="003317AE">
        <w:rPr>
          <w:rFonts w:eastAsiaTheme="minorHAnsi"/>
          <w:lang w:val="en-US"/>
        </w:rPr>
        <w:t>)</w:t>
      </w:r>
      <w:r w:rsidR="007100E4">
        <w:rPr>
          <w:rFonts w:eastAsiaTheme="minorHAnsi"/>
          <w:lang w:val="en-US"/>
        </w:rPr>
        <w:t>, but</w:t>
      </w:r>
      <w:r w:rsidR="00EE4746">
        <w:rPr>
          <w:rFonts w:eastAsiaTheme="minorHAnsi"/>
          <w:lang w:val="en-US"/>
        </w:rPr>
        <w:t xml:space="preserve"> </w:t>
      </w:r>
      <w:r w:rsidRPr="003317AE">
        <w:rPr>
          <w:rFonts w:eastAsiaTheme="minorHAnsi"/>
          <w:lang w:val="en-US"/>
        </w:rPr>
        <w:t>is water insoluble</w:t>
      </w:r>
      <w:r w:rsidR="007100E4">
        <w:rPr>
          <w:rFonts w:eastAsiaTheme="minorHAnsi"/>
          <w:lang w:val="en-US"/>
        </w:rPr>
        <w:t xml:space="preserve"> due to its</w:t>
      </w:r>
      <w:r w:rsidR="00535D7B">
        <w:rPr>
          <w:rFonts w:eastAsiaTheme="minorHAnsi"/>
          <w:lang w:val="en-US"/>
        </w:rPr>
        <w:t xml:space="preserve"> </w:t>
      </w:r>
      <w:r w:rsidR="007100E4">
        <w:rPr>
          <w:rFonts w:eastAsiaTheme="minorHAnsi"/>
          <w:lang w:val="en-US"/>
        </w:rPr>
        <w:t xml:space="preserve">covalent </w:t>
      </w:r>
      <w:r w:rsidR="00535D7B">
        <w:rPr>
          <w:rFonts w:eastAsiaTheme="minorHAnsi"/>
          <w:lang w:val="en-US"/>
        </w:rPr>
        <w:t>bond</w:t>
      </w:r>
      <w:r w:rsidR="007100E4">
        <w:rPr>
          <w:rFonts w:eastAsiaTheme="minorHAnsi"/>
          <w:lang w:val="en-US"/>
        </w:rPr>
        <w:t xml:space="preserve"> </w:t>
      </w:r>
      <w:r w:rsidR="00535D7B">
        <w:rPr>
          <w:rFonts w:eastAsiaTheme="minorHAnsi"/>
          <w:lang w:val="en-US"/>
        </w:rPr>
        <w:t xml:space="preserve">with oxygen, which has </w:t>
      </w:r>
      <w:r w:rsidR="006F710E">
        <w:rPr>
          <w:rFonts w:eastAsiaTheme="minorHAnsi"/>
          <w:lang w:val="en-US"/>
        </w:rPr>
        <w:t>high electronegativity</w:t>
      </w:r>
      <w:r w:rsidRPr="003317AE">
        <w:rPr>
          <w:rFonts w:eastAsiaTheme="minorHAnsi"/>
          <w:lang w:val="en-US"/>
        </w:rPr>
        <w:t>. The sodium in NaCl has a lower</w:t>
      </w:r>
      <w:r w:rsidR="00EE4746">
        <w:rPr>
          <w:rFonts w:eastAsiaTheme="minorHAnsi"/>
          <w:lang w:val="en-US"/>
        </w:rPr>
        <w:t xml:space="preserve"> </w:t>
      </w:r>
      <w:r w:rsidR="00552292">
        <w:rPr>
          <w:rFonts w:eastAsiaTheme="minorHAnsi"/>
          <w:lang w:val="en-US"/>
        </w:rPr>
        <w:t xml:space="preserve">ionic </w:t>
      </w:r>
      <w:r w:rsidRPr="003317AE">
        <w:rPr>
          <w:rFonts w:eastAsiaTheme="minorHAnsi"/>
          <w:lang w:val="en-US"/>
        </w:rPr>
        <w:t>charge (1</w:t>
      </w:r>
      <w:r w:rsidR="00EE4746">
        <w:rPr>
          <w:rFonts w:eastAsiaTheme="minorHAnsi"/>
          <w:lang w:val="en-US"/>
        </w:rPr>
        <w:t>+</w:t>
      </w:r>
      <w:r w:rsidRPr="003317AE">
        <w:rPr>
          <w:rFonts w:eastAsiaTheme="minorHAnsi"/>
          <w:lang w:val="en-US"/>
        </w:rPr>
        <w:t>)</w:t>
      </w:r>
      <w:r w:rsidR="007100E4">
        <w:rPr>
          <w:rFonts w:eastAsiaTheme="minorHAnsi"/>
          <w:lang w:val="en-US"/>
        </w:rPr>
        <w:t>,</w:t>
      </w:r>
      <w:r w:rsidRPr="003317AE">
        <w:rPr>
          <w:rFonts w:eastAsiaTheme="minorHAnsi"/>
          <w:lang w:val="en-US"/>
        </w:rPr>
        <w:t xml:space="preserve"> but is extremely water soluble</w:t>
      </w:r>
      <w:r w:rsidR="006F710E">
        <w:rPr>
          <w:rFonts w:eastAsiaTheme="minorHAnsi"/>
          <w:lang w:val="en-US"/>
        </w:rPr>
        <w:t>, because the very high electronegativity of chlorine</w:t>
      </w:r>
      <w:r w:rsidR="007100E4">
        <w:rPr>
          <w:rFonts w:eastAsiaTheme="minorHAnsi"/>
          <w:lang w:val="en-US"/>
        </w:rPr>
        <w:t xml:space="preserve"> draws an electron away from sodium</w:t>
      </w:r>
      <w:r w:rsidRPr="003317AE">
        <w:rPr>
          <w:rFonts w:eastAsiaTheme="minorHAnsi"/>
          <w:lang w:val="en-US"/>
        </w:rPr>
        <w:t xml:space="preserve">. </w:t>
      </w:r>
    </w:p>
    <w:bookmarkEnd w:id="83"/>
    <w:bookmarkEnd w:id="84"/>
    <w:p w14:paraId="79D4CAB0" w14:textId="77777777" w:rsidR="003317AE" w:rsidRPr="003317AE" w:rsidRDefault="003317AE" w:rsidP="003317AE">
      <w:pPr>
        <w:tabs>
          <w:tab w:val="left" w:pos="900"/>
        </w:tabs>
        <w:spacing w:after="0" w:line="240" w:lineRule="auto"/>
        <w:rPr>
          <w:rFonts w:eastAsiaTheme="minorHAnsi"/>
          <w:lang w:val="en-US"/>
        </w:rPr>
      </w:pPr>
    </w:p>
    <w:p w14:paraId="7370C92E" w14:textId="77777777" w:rsidR="003317AE" w:rsidRPr="003317AE" w:rsidRDefault="003317AE" w:rsidP="003317AE">
      <w:pPr>
        <w:tabs>
          <w:tab w:val="left" w:pos="900"/>
        </w:tabs>
        <w:spacing w:after="0" w:line="240" w:lineRule="auto"/>
        <w:rPr>
          <w:rFonts w:eastAsiaTheme="minorHAnsi"/>
          <w:lang w:val="en-US"/>
        </w:rPr>
      </w:pPr>
      <w:r w:rsidRPr="003317AE">
        <w:rPr>
          <w:rFonts w:eastAsiaTheme="minorHAnsi"/>
          <w:lang w:val="en-US"/>
        </w:rPr>
        <w:t xml:space="preserve">The discussion of ionic radius is both completely irrelevant and wrong. The authors seem to say that ions with a large atomic radius are easily soluble. Gold and cesium have similar atomic radii. Gold is virtually insoluble in water (or just about anything else except aqua regia); cesium is readily soluble. </w:t>
      </w:r>
    </w:p>
    <w:p w14:paraId="48E2E4AB" w14:textId="77777777" w:rsidR="003317AE" w:rsidRPr="003317AE" w:rsidRDefault="003317AE" w:rsidP="003317AE">
      <w:pPr>
        <w:tabs>
          <w:tab w:val="left" w:pos="900"/>
        </w:tabs>
        <w:spacing w:after="0" w:line="240" w:lineRule="auto"/>
        <w:rPr>
          <w:rFonts w:eastAsiaTheme="minorHAnsi"/>
          <w:lang w:val="en-US"/>
        </w:rPr>
      </w:pPr>
    </w:p>
    <w:p w14:paraId="436B50CF" w14:textId="083D71AF" w:rsidR="003317AE" w:rsidRPr="003317AE" w:rsidRDefault="003317AE" w:rsidP="003317AE">
      <w:pPr>
        <w:tabs>
          <w:tab w:val="left" w:pos="900"/>
        </w:tabs>
        <w:spacing w:after="0" w:line="240" w:lineRule="auto"/>
        <w:rPr>
          <w:rFonts w:eastAsiaTheme="minorHAnsi"/>
          <w:lang w:val="en-US"/>
        </w:rPr>
      </w:pPr>
      <w:r w:rsidRPr="003317AE">
        <w:rPr>
          <w:rFonts w:eastAsiaTheme="minorHAnsi"/>
          <w:lang w:val="en-US"/>
        </w:rPr>
        <w:t>The authors do list several elements and compounds that they exclude f</w:t>
      </w:r>
      <w:r w:rsidR="00637F48">
        <w:rPr>
          <w:rFonts w:eastAsiaTheme="minorHAnsi"/>
          <w:lang w:val="en-US"/>
        </w:rPr>
        <w:t>ro</w:t>
      </w:r>
      <w:r w:rsidRPr="003317AE">
        <w:rPr>
          <w:rFonts w:eastAsiaTheme="minorHAnsi"/>
          <w:lang w:val="en-US"/>
        </w:rPr>
        <w:t>m the analysis, but it is unclear from their description whether these are the ONLY elements and compounds being excluded or if there are others. Their argument for excluding P and S is reasonable. Their argument for excluding Co and Ba is not. Their argument against including Co is basically an admission that their entire data set is unreliable. Goren et al (2004) do not explain on what basis they believe that ONLY Co is being affected by the small sample size</w:t>
      </w:r>
      <w:r w:rsidRPr="003317AE">
        <w:rPr>
          <w:rFonts w:eastAsiaTheme="minorHAnsi"/>
          <w:vertAlign w:val="superscript"/>
          <w:lang w:val="en-US"/>
        </w:rPr>
        <w:footnoteReference w:id="72"/>
      </w:r>
      <w:r w:rsidRPr="003317AE">
        <w:rPr>
          <w:rFonts w:eastAsiaTheme="minorHAnsi"/>
          <w:lang w:val="en-US"/>
        </w:rPr>
        <w:t>. In reality, if Co is affected by the small sample size, so is every other element in the analysis.  Their decision to exclude Ba is another indicator that they don’t understand the geochemistry of the depositional systems they are working with. They are excluding Ba (as barite Ba SO</w:t>
      </w:r>
      <w:r w:rsidRPr="003317AE">
        <w:rPr>
          <w:rFonts w:eastAsiaTheme="minorHAnsi"/>
          <w:vertAlign w:val="subscript"/>
          <w:lang w:val="en-US"/>
        </w:rPr>
        <w:t xml:space="preserve">4) </w:t>
      </w:r>
      <w:r w:rsidRPr="003317AE">
        <w:rPr>
          <w:rFonts w:eastAsiaTheme="minorHAnsi"/>
          <w:lang w:val="en-US"/>
        </w:rPr>
        <w:t>for the same reason that they exclude gypsum (CaSO</w:t>
      </w:r>
      <w:r w:rsidRPr="003317AE">
        <w:rPr>
          <w:rFonts w:eastAsiaTheme="minorHAnsi"/>
          <w:vertAlign w:val="subscript"/>
          <w:lang w:val="en-US"/>
        </w:rPr>
        <w:t>4</w:t>
      </w:r>
      <w:r w:rsidRPr="003317AE">
        <w:rPr>
          <w:rFonts w:eastAsiaTheme="minorHAnsi"/>
          <w:lang w:val="en-US"/>
        </w:rPr>
        <w:t>·2H</w:t>
      </w:r>
      <w:r w:rsidRPr="003317AE">
        <w:rPr>
          <w:rFonts w:eastAsiaTheme="minorHAnsi"/>
          <w:vertAlign w:val="subscript"/>
          <w:lang w:val="en-US"/>
        </w:rPr>
        <w:t>2</w:t>
      </w:r>
      <w:r w:rsidRPr="003317AE">
        <w:rPr>
          <w:rFonts w:eastAsiaTheme="minorHAnsi"/>
          <w:lang w:val="en-US"/>
        </w:rPr>
        <w:t>O), namely that gypsum is a contaminant that is commonly deposited from circulating groundwater. However, barite (BaSO</w:t>
      </w:r>
      <w:r w:rsidRPr="003317AE">
        <w:rPr>
          <w:rFonts w:eastAsiaTheme="minorHAnsi"/>
          <w:vertAlign w:val="subscript"/>
          <w:lang w:val="en-US"/>
        </w:rPr>
        <w:t>4</w:t>
      </w:r>
      <w:r w:rsidRPr="003317AE">
        <w:rPr>
          <w:rFonts w:eastAsiaTheme="minorHAnsi"/>
          <w:lang w:val="en-US"/>
        </w:rPr>
        <w:t xml:space="preserve">) is not precipitated from circulating ground waters unless there is a major hydrothermal system someplace </w:t>
      </w:r>
      <w:r w:rsidRPr="003317AE">
        <w:rPr>
          <w:rFonts w:eastAsiaTheme="minorHAnsi"/>
          <w:lang w:val="en-US"/>
        </w:rPr>
        <w:lastRenderedPageBreak/>
        <w:t xml:space="preserve">in the watershed. High concentrations of Ba in a clay is </w:t>
      </w:r>
      <w:r w:rsidRPr="003317AE">
        <w:rPr>
          <w:rFonts w:eastAsiaTheme="minorHAnsi"/>
          <w:i/>
          <w:lang w:val="en-US"/>
        </w:rPr>
        <w:t>highly</w:t>
      </w:r>
      <w:r w:rsidRPr="003317AE">
        <w:rPr>
          <w:rFonts w:eastAsiaTheme="minorHAnsi"/>
          <w:lang w:val="en-US"/>
        </w:rPr>
        <w:t xml:space="preserve"> provenance diagnostic. </w:t>
      </w:r>
    </w:p>
    <w:p w14:paraId="0707E321" w14:textId="77777777" w:rsidR="003317AE" w:rsidRPr="003317AE" w:rsidRDefault="003317AE" w:rsidP="003317AE">
      <w:pPr>
        <w:tabs>
          <w:tab w:val="left" w:pos="900"/>
        </w:tabs>
        <w:spacing w:after="0" w:line="240" w:lineRule="auto"/>
        <w:rPr>
          <w:rFonts w:eastAsiaTheme="minorHAnsi"/>
          <w:lang w:val="en-US"/>
        </w:rPr>
      </w:pPr>
    </w:p>
    <w:p w14:paraId="54A118DE" w14:textId="77777777" w:rsidR="003317AE" w:rsidRPr="003317AE" w:rsidRDefault="003317AE" w:rsidP="003317AE">
      <w:pPr>
        <w:tabs>
          <w:tab w:val="left" w:pos="900"/>
        </w:tabs>
        <w:spacing w:after="0" w:line="240" w:lineRule="auto"/>
        <w:rPr>
          <w:rFonts w:eastAsiaTheme="minorHAnsi"/>
          <w:lang w:val="en-US"/>
        </w:rPr>
      </w:pPr>
      <w:r w:rsidRPr="003317AE">
        <w:rPr>
          <w:rFonts w:eastAsiaTheme="minorHAnsi"/>
          <w:lang w:val="en-US"/>
        </w:rPr>
        <w:t xml:space="preserve">Goren et al. (2011) perpetuates the Ba fallacy. These authors cite a study by Katz et al. (2009) as proof that barite behaves identically to gypsum and precipitates from ground water. Goren et al. (2011) specifically reference the fact that that the barite is found in Lake Lisan seismites. This description should have been an alert to these workers that something unusual is happening to the Lake Lisan sediments and that, perhaps, the origin of the barite may not be due to simple ground water evaporation. The geology of barite is discussed in detail by Johnson et al. (2017). where it is pointed out that barite is not especially mobile in ground water environments and thus requires special conditions to become concentrated. According to Johnson et al. (2017), virtually all barite deposits are associated in some way with magmatic systems. The Dead Sea (i.e. the residual Lake Lisan) is part of the Red Sea Rift, which continues to be volcanically active (Weinstein and Garfunkel 2013). Continued deep seated magmatic movements cause the earthquakes that produced the seismites. Evidence of hydrothermal circulation has also been found on the floor of the Dead Sea (Ben-Avraham and Ballard 1984). Given the rhyolitic composition of some of the lavas in the rift zone, at least some of the magmas have the correct composition to supply Ba to the hydrothermal waters. So, the exclusion of Ba by Goren et al. (2011) is another example of excluding a provenance diagnostic trace element. </w:t>
      </w:r>
    </w:p>
    <w:p w14:paraId="4343D91C" w14:textId="77777777" w:rsidR="003317AE" w:rsidRPr="003317AE" w:rsidRDefault="003317AE" w:rsidP="003317AE">
      <w:pPr>
        <w:tabs>
          <w:tab w:val="left" w:pos="900"/>
        </w:tabs>
        <w:spacing w:after="0" w:line="240" w:lineRule="auto"/>
        <w:rPr>
          <w:rFonts w:eastAsiaTheme="minorHAnsi"/>
          <w:lang w:val="en-US"/>
        </w:rPr>
      </w:pPr>
    </w:p>
    <w:p w14:paraId="1CECE68F" w14:textId="77777777" w:rsidR="003317AE" w:rsidRPr="003317AE" w:rsidRDefault="003317AE" w:rsidP="003317AE">
      <w:pPr>
        <w:spacing w:after="200" w:line="240" w:lineRule="auto"/>
        <w:rPr>
          <w:rFonts w:eastAsiaTheme="minorHAnsi"/>
          <w:lang w:val="en-US"/>
        </w:rPr>
      </w:pPr>
      <w:r w:rsidRPr="003317AE">
        <w:rPr>
          <w:rFonts w:eastAsiaTheme="minorHAnsi"/>
          <w:lang w:val="en-US"/>
        </w:rPr>
        <w:t>Goren et al. (2004) make confused arguments about various elements being correlated to one another without discussing what such relatedness may mean for their provenance analysis. Petrography can provide insights into manufacturing techniques, firing temperature, tempering practices and mineral constituents, but it cannot provide a detailed fingerprint of provenance diagnostic mineral chemistry. To understand this issue, consider this simple example—plagioclase. Plagioclase is a solid solution series with end members having the formula NaAlSi</w:t>
      </w:r>
      <w:r w:rsidRPr="003317AE">
        <w:rPr>
          <w:rFonts w:eastAsiaTheme="minorHAnsi"/>
          <w:vertAlign w:val="subscript"/>
          <w:lang w:val="en-US"/>
        </w:rPr>
        <w:t>3</w:t>
      </w:r>
      <w:r w:rsidRPr="003317AE">
        <w:rPr>
          <w:rFonts w:eastAsiaTheme="minorHAnsi"/>
          <w:lang w:val="en-US"/>
        </w:rPr>
        <w:t>O</w:t>
      </w:r>
      <w:r w:rsidRPr="003317AE">
        <w:rPr>
          <w:rFonts w:eastAsiaTheme="minorHAnsi"/>
          <w:vertAlign w:val="subscript"/>
          <w:lang w:val="en-US"/>
        </w:rPr>
        <w:t xml:space="preserve">8 </w:t>
      </w:r>
      <w:r w:rsidRPr="003317AE">
        <w:rPr>
          <w:rFonts w:eastAsiaTheme="minorHAnsi"/>
          <w:lang w:val="en-US"/>
        </w:rPr>
        <w:t>(albite) and CaAlSi</w:t>
      </w:r>
      <w:r w:rsidRPr="003317AE">
        <w:rPr>
          <w:rFonts w:eastAsiaTheme="minorHAnsi"/>
          <w:vertAlign w:val="subscript"/>
          <w:lang w:val="en-US"/>
        </w:rPr>
        <w:t>3</w:t>
      </w:r>
      <w:r w:rsidRPr="003317AE">
        <w:rPr>
          <w:rFonts w:eastAsiaTheme="minorHAnsi"/>
          <w:lang w:val="en-US"/>
        </w:rPr>
        <w:t>O</w:t>
      </w:r>
      <w:r w:rsidRPr="003317AE">
        <w:rPr>
          <w:rFonts w:eastAsiaTheme="minorHAnsi"/>
          <w:vertAlign w:val="subscript"/>
          <w:lang w:val="en-US"/>
        </w:rPr>
        <w:t xml:space="preserve">8 </w:t>
      </w:r>
      <w:r w:rsidRPr="003317AE">
        <w:rPr>
          <w:rFonts w:eastAsiaTheme="minorHAnsi"/>
          <w:lang w:val="en-US"/>
        </w:rPr>
        <w:t xml:space="preserve">(anorthite). Na and Ca freely substitute for one another in the plagioclase crystal structure and virtually any ratio of Na:Ca can exist. Sometimes a small amount of K might also present in the crystal structure. The ratio of Na:Ca in a plagioclase is determined by the composition of the magmatic melt from which it crystalized. Granites produce Na rich plagioclase that may contain a very </w:t>
      </w:r>
      <w:r w:rsidRPr="003317AE">
        <w:rPr>
          <w:rFonts w:eastAsiaTheme="minorHAnsi"/>
          <w:lang w:val="en-US"/>
        </w:rPr>
        <w:lastRenderedPageBreak/>
        <w:t xml:space="preserve">small percentage of K, mafic rocks contain equal to dominant percentages of Ca:Na in the plagioclase crystal, and ultramafic rocks are dominated by Ca plagioclase almost to the exclusion of Na. If enough grains are present, the petrographer can determine the Na:Ca ratio. </w:t>
      </w:r>
    </w:p>
    <w:p w14:paraId="4755B831" w14:textId="77777777" w:rsidR="003317AE" w:rsidRPr="003317AE" w:rsidRDefault="003317AE" w:rsidP="003317AE">
      <w:pPr>
        <w:spacing w:after="200" w:line="240" w:lineRule="auto"/>
        <w:rPr>
          <w:rFonts w:eastAsiaTheme="minorHAnsi"/>
          <w:lang w:val="en-US"/>
        </w:rPr>
      </w:pPr>
      <w:r w:rsidRPr="003317AE">
        <w:rPr>
          <w:rFonts w:eastAsiaTheme="minorHAnsi"/>
          <w:lang w:val="en-US"/>
        </w:rPr>
        <w:t>For other minerals, only a chemical analysis will reveal the cation solid solution ratios. For example, consider the heavy mineral monazite. Monazite varieties are named for their dominant cation. Monazite-(Ce) has the chemical formula (Ce,La,Nd,Th)PO</w:t>
      </w:r>
      <w:r w:rsidRPr="003317AE">
        <w:rPr>
          <w:rFonts w:eastAsiaTheme="minorHAnsi"/>
          <w:vertAlign w:val="subscript"/>
          <w:lang w:val="en-US"/>
        </w:rPr>
        <w:t>4</w:t>
      </w:r>
      <w:r w:rsidRPr="003317AE">
        <w:rPr>
          <w:rFonts w:eastAsiaTheme="minorHAnsi"/>
          <w:lang w:val="en-US"/>
        </w:rPr>
        <w:t>. For monazite-(Sm) the formula is (Sm,Gd,Ce,Th)PO</w:t>
      </w:r>
      <w:r w:rsidRPr="003317AE">
        <w:rPr>
          <w:rFonts w:eastAsiaTheme="minorHAnsi"/>
          <w:vertAlign w:val="subscript"/>
          <w:lang w:val="en-US"/>
        </w:rPr>
        <w:t>4</w:t>
      </w:r>
      <w:r w:rsidRPr="003317AE">
        <w:rPr>
          <w:rFonts w:eastAsiaTheme="minorHAnsi"/>
          <w:lang w:val="en-US"/>
        </w:rPr>
        <w:t xml:space="preserve">. And these formulas only account for the </w:t>
      </w:r>
      <w:r w:rsidRPr="003317AE">
        <w:rPr>
          <w:rFonts w:eastAsiaTheme="minorHAnsi"/>
          <w:i/>
          <w:lang w:val="en-US"/>
        </w:rPr>
        <w:t>primary</w:t>
      </w:r>
      <w:r w:rsidRPr="003317AE">
        <w:rPr>
          <w:rFonts w:eastAsiaTheme="minorHAnsi"/>
          <w:lang w:val="en-US"/>
        </w:rPr>
        <w:t xml:space="preserve"> solid solution cations. Any of these monazite species will contain other REE cations at much smaller percentages. The specific ratios of REEs in a monazite are HIGHLY provenance diagnostic, since no two monazite occurrences have exactly the same REE ratios. </w:t>
      </w:r>
    </w:p>
    <w:p w14:paraId="3E880B24" w14:textId="60A47212" w:rsidR="003317AE" w:rsidRPr="003317AE" w:rsidRDefault="003317AE" w:rsidP="003317AE">
      <w:pPr>
        <w:spacing w:after="200" w:line="240" w:lineRule="auto"/>
        <w:rPr>
          <w:rFonts w:eastAsiaTheme="minorHAnsi"/>
          <w:b/>
          <w:szCs w:val="24"/>
          <w:lang w:val="en-US"/>
        </w:rPr>
      </w:pPr>
      <w:r w:rsidRPr="003317AE">
        <w:rPr>
          <w:rFonts w:eastAsiaTheme="minorHAnsi"/>
          <w:lang w:val="en-US"/>
        </w:rPr>
        <w:t>That Cohen-Weinberger and Goren (2004) should accept precedence of petrography over NAA</w:t>
      </w:r>
      <w:r w:rsidRPr="003317AE">
        <w:rPr>
          <w:rFonts w:eastAsiaTheme="minorHAnsi"/>
          <w:vertAlign w:val="superscript"/>
          <w:lang w:val="en-US"/>
        </w:rPr>
        <w:footnoteReference w:id="73"/>
      </w:r>
      <w:r w:rsidRPr="003317AE">
        <w:rPr>
          <w:rFonts w:eastAsiaTheme="minorHAnsi"/>
          <w:lang w:val="en-US"/>
        </w:rPr>
        <w:t xml:space="preserve"> indicates that </w:t>
      </w:r>
      <w:r w:rsidR="00B45742">
        <w:rPr>
          <w:rFonts w:eastAsiaTheme="minorHAnsi"/>
          <w:lang w:val="en-US"/>
        </w:rPr>
        <w:t>they and presumably other</w:t>
      </w:r>
      <w:r w:rsidRPr="003317AE">
        <w:rPr>
          <w:rFonts w:eastAsiaTheme="minorHAnsi"/>
          <w:lang w:val="en-US"/>
        </w:rPr>
        <w:t xml:space="preserve"> archaeological petrographers</w:t>
      </w:r>
      <w:r w:rsidR="004D73F4">
        <w:rPr>
          <w:rFonts w:eastAsiaTheme="minorHAnsi"/>
          <w:lang w:val="en-US"/>
        </w:rPr>
        <w:t xml:space="preserve"> who he has trained </w:t>
      </w:r>
      <w:r w:rsidR="00DB0DFE">
        <w:rPr>
          <w:rFonts w:eastAsiaTheme="minorHAnsi"/>
          <w:lang w:val="en-US"/>
        </w:rPr>
        <w:t xml:space="preserve">or influenced </w:t>
      </w:r>
      <w:r w:rsidRPr="003317AE">
        <w:rPr>
          <w:rFonts w:eastAsiaTheme="minorHAnsi"/>
          <w:lang w:val="en-US"/>
        </w:rPr>
        <w:t xml:space="preserve">do not understand the geochemistry or the geology of the minerals they study. That Goren and his coworkers would argue that sherds with identical NAA trace element profiles but different petrographies must have different provenance is inconceivable. Their argument is backwards. Trace element profiles are as easy to duplicate as fingerprints! If two petrographically distinctive sherd assemblages have identical NAA profiles it is incumbent on the archaeologist to explain the cultural reason why these different assemblages co-occur in time and space. As a trained geologist and petrographer, I would always allow the chemical evidence to take precedence over the petrographic evidence. </w:t>
      </w:r>
    </w:p>
    <w:p w14:paraId="042027AB" w14:textId="77777777" w:rsidR="003317AE" w:rsidRPr="003317AE" w:rsidRDefault="003317AE" w:rsidP="003317AE">
      <w:pPr>
        <w:tabs>
          <w:tab w:val="left" w:pos="900"/>
        </w:tabs>
        <w:spacing w:after="0" w:line="240" w:lineRule="auto"/>
        <w:rPr>
          <w:rFonts w:eastAsiaTheme="minorHAnsi"/>
          <w:b/>
          <w:lang w:val="en-US"/>
        </w:rPr>
      </w:pPr>
      <w:r w:rsidRPr="003317AE">
        <w:rPr>
          <w:rFonts w:eastAsiaTheme="minorHAnsi"/>
          <w:b/>
          <w:lang w:val="en-US"/>
        </w:rPr>
        <w:t>Clay-Temper Factor (CTF) and the Use and Interpretation of Geologic Maps</w:t>
      </w:r>
    </w:p>
    <w:p w14:paraId="609E7873" w14:textId="77777777" w:rsidR="003317AE" w:rsidRPr="003317AE" w:rsidRDefault="003317AE" w:rsidP="003317AE">
      <w:pPr>
        <w:tabs>
          <w:tab w:val="left" w:pos="900"/>
        </w:tabs>
        <w:spacing w:after="0" w:line="240" w:lineRule="auto"/>
        <w:rPr>
          <w:rFonts w:eastAsiaTheme="minorHAnsi"/>
          <w:lang w:val="en-US"/>
        </w:rPr>
      </w:pPr>
    </w:p>
    <w:p w14:paraId="3A7FCFDC" w14:textId="77777777" w:rsidR="003317AE" w:rsidRPr="003317AE" w:rsidRDefault="003317AE" w:rsidP="003317AE">
      <w:pPr>
        <w:tabs>
          <w:tab w:val="left" w:pos="900"/>
        </w:tabs>
        <w:spacing w:after="0" w:line="240" w:lineRule="auto"/>
        <w:rPr>
          <w:rFonts w:eastAsiaTheme="minorHAnsi"/>
          <w:lang w:val="en-US"/>
        </w:rPr>
      </w:pPr>
      <w:r w:rsidRPr="003317AE">
        <w:rPr>
          <w:rFonts w:eastAsiaTheme="minorHAnsi"/>
          <w:lang w:val="en-US"/>
        </w:rPr>
        <w:t>Goren and his coworkers depend almost exclusively on geologic provenance data acquired from the study of geologic maps for all the articles and book under review here.. The concept of the CTF (i.e. the Clay-Temper Factor</w:t>
      </w:r>
      <w:r w:rsidRPr="003317AE">
        <w:rPr>
          <w:rFonts w:eastAsiaTheme="minorHAnsi"/>
          <w:vertAlign w:val="superscript"/>
          <w:lang w:val="en-US"/>
        </w:rPr>
        <w:footnoteReference w:id="74"/>
      </w:r>
      <w:r w:rsidRPr="003317AE">
        <w:rPr>
          <w:rFonts w:eastAsiaTheme="minorHAnsi"/>
          <w:lang w:val="en-US"/>
        </w:rPr>
        <w:t xml:space="preserve">) indicates that these workers have a fundamental misunderstanding of basic geologic principles </w:t>
      </w:r>
      <w:r w:rsidRPr="003317AE">
        <w:rPr>
          <w:rFonts w:eastAsiaTheme="minorHAnsi"/>
          <w:lang w:val="en-US"/>
        </w:rPr>
        <w:lastRenderedPageBreak/>
        <w:t>and sedimentologic processes. From the description explaining how the authors calculate the CTF, it is clear that the authors assume that a formation is uniform throughout the area of its occurrence. Furthermore, the assumption is made that the description of the formation’s characteristics provided on summary large scale geologic maps accurately describe the characteristics of that formation everywhere that it occurs. Nothing could be further from the truth. Consider the characteristics of some of the formations mentioned by Goren et al. (2004). The Pakhna marls</w:t>
      </w:r>
      <w:r w:rsidRPr="003317AE">
        <w:rPr>
          <w:rFonts w:eastAsiaTheme="minorHAnsi"/>
          <w:vertAlign w:val="superscript"/>
          <w:lang w:val="en-US"/>
        </w:rPr>
        <w:footnoteReference w:id="75"/>
      </w:r>
      <w:r w:rsidRPr="003317AE">
        <w:rPr>
          <w:rFonts w:eastAsiaTheme="minorHAnsi"/>
          <w:lang w:val="en-US"/>
        </w:rPr>
        <w:t xml:space="preserve"> of Cyprus are mentioned. From reading their discussion of this rock unit, one would conclude that it is a marl throughout its area of occurrence. In fact, the Pakhna Formation “…records heterogeneous, mainly carbonate, sedimentation…</w:t>
      </w:r>
      <w:r w:rsidRPr="003317AE">
        <w:rPr>
          <w:rFonts w:ascii="Georgia" w:eastAsiaTheme="minorHAnsi" w:hAnsi="Georgia" w:cstheme="minorBidi"/>
          <w:color w:val="2E2E2E"/>
          <w:sz w:val="27"/>
          <w:szCs w:val="27"/>
          <w:lang w:val="en-US"/>
        </w:rPr>
        <w:t xml:space="preserve"> </w:t>
      </w:r>
      <w:r w:rsidRPr="003317AE">
        <w:rPr>
          <w:rFonts w:eastAsiaTheme="minorHAnsi"/>
          <w:lang w:val="en-US"/>
        </w:rPr>
        <w:t xml:space="preserve">The succession begins with deep-water pelagic carbonates and shows increased input of shallow-water bioclastic and terrigenous sediment upward” (Eaton and Robertson 1993). Pelagic carbonates do not contain significant clay fractions and would not be suitable for clay tablet manufacture. A variety of other non-marl lithologies are also described in this formation. </w:t>
      </w:r>
    </w:p>
    <w:p w14:paraId="5455FCF8" w14:textId="77777777" w:rsidR="003317AE" w:rsidRPr="003317AE" w:rsidRDefault="003317AE" w:rsidP="003317AE">
      <w:pPr>
        <w:tabs>
          <w:tab w:val="left" w:pos="900"/>
        </w:tabs>
        <w:spacing w:after="0" w:line="240" w:lineRule="auto"/>
        <w:rPr>
          <w:rFonts w:eastAsiaTheme="minorHAnsi"/>
          <w:lang w:val="en-US"/>
        </w:rPr>
      </w:pPr>
    </w:p>
    <w:p w14:paraId="01D68BF7" w14:textId="77777777" w:rsidR="003317AE" w:rsidRPr="003317AE" w:rsidRDefault="003317AE" w:rsidP="003317AE">
      <w:pPr>
        <w:tabs>
          <w:tab w:val="left" w:pos="900"/>
        </w:tabs>
        <w:spacing w:after="0" w:line="240" w:lineRule="auto"/>
        <w:rPr>
          <w:rFonts w:eastAsiaTheme="minorHAnsi"/>
          <w:lang w:val="en-US"/>
        </w:rPr>
      </w:pPr>
      <w:r w:rsidRPr="003317AE">
        <w:rPr>
          <w:rFonts w:eastAsiaTheme="minorHAnsi"/>
          <w:lang w:val="en-US"/>
        </w:rPr>
        <w:t xml:space="preserve">In the same sentence, Goren et al. (2004) mention the Moni clays. The Moni Mélange (see Robertson 1977) is a rock type that forms in a subduction zone. A mélange can literally contain any kind of rock that can be imagined. The rocks that it WILL contain are whatever rocks happen to be on the edges of the crustal masses that are colliding. A mélange will consist of sediments, metamorphic, volcanic, and plutonic rocks (often including ophiolites). Clays that are derived from such rocks will have whatever character the local rocks allow. Derived clay characteristics can change radically over a distance of a few hundred meters. </w:t>
      </w:r>
    </w:p>
    <w:p w14:paraId="1EC43C5A" w14:textId="77777777" w:rsidR="003317AE" w:rsidRPr="003317AE" w:rsidRDefault="003317AE" w:rsidP="003317AE">
      <w:pPr>
        <w:tabs>
          <w:tab w:val="left" w:pos="900"/>
        </w:tabs>
        <w:spacing w:after="0" w:line="240" w:lineRule="auto"/>
        <w:rPr>
          <w:rFonts w:eastAsiaTheme="minorHAnsi"/>
          <w:lang w:val="en-US"/>
        </w:rPr>
      </w:pPr>
    </w:p>
    <w:p w14:paraId="694C1652" w14:textId="77777777" w:rsidR="003317AE" w:rsidRPr="003317AE" w:rsidRDefault="003317AE" w:rsidP="003317AE">
      <w:pPr>
        <w:tabs>
          <w:tab w:val="left" w:pos="900"/>
        </w:tabs>
        <w:spacing w:after="0" w:line="240" w:lineRule="auto"/>
        <w:rPr>
          <w:rFonts w:eastAsiaTheme="minorHAnsi"/>
          <w:lang w:val="en-US"/>
        </w:rPr>
      </w:pPr>
      <w:r w:rsidRPr="003317AE">
        <w:rPr>
          <w:rFonts w:eastAsiaTheme="minorHAnsi"/>
          <w:lang w:val="en-US"/>
        </w:rPr>
        <w:t>Of specific importance to this critique is what Goren has to say about the site of Byblos in the northern Levant, which Bietak posits as the origin of the Tell el-Dab`a population. Goren et al. (2004) state: “The ancient mound of Byblos is located in an area where Neogene to recent marine sediments were deposited. These include a series of chalks, clays, marls and sand dunes.</w:t>
      </w:r>
      <w:r w:rsidRPr="003317AE">
        <w:rPr>
          <w:rFonts w:eastAsiaTheme="minorHAnsi"/>
          <w:vertAlign w:val="superscript"/>
          <w:lang w:val="en-US"/>
        </w:rPr>
        <w:footnoteReference w:id="76"/>
      </w:r>
      <w:r w:rsidRPr="003317AE">
        <w:rPr>
          <w:rFonts w:eastAsiaTheme="minorHAnsi"/>
          <w:lang w:val="en-US"/>
        </w:rPr>
        <w:t xml:space="preserve">” This description appears to be derived directly from the literature and not from an on-site investigation of the actual clay sources. It is true that the Mio-Pliocene deposits contain marls, but a review of the lithologic descriptions of this rock sequence indicates </w:t>
      </w:r>
      <w:r w:rsidRPr="003317AE">
        <w:rPr>
          <w:rFonts w:eastAsiaTheme="minorHAnsi"/>
          <w:lang w:val="en-US"/>
        </w:rPr>
        <w:lastRenderedPageBreak/>
        <w:t xml:space="preserve">that in the 1500 m thickness of this sequence, marls are present in limited parts of the section (Buchbinder and Zilberman 1997). Even though this rock unit may be present around Byblos, the marl-containing part is not necessarily exposed. </w:t>
      </w:r>
    </w:p>
    <w:p w14:paraId="27013F87" w14:textId="77777777" w:rsidR="003317AE" w:rsidRPr="003317AE" w:rsidRDefault="003317AE" w:rsidP="003317AE">
      <w:pPr>
        <w:tabs>
          <w:tab w:val="left" w:pos="900"/>
        </w:tabs>
        <w:spacing w:after="0" w:line="240" w:lineRule="auto"/>
        <w:rPr>
          <w:rFonts w:eastAsiaTheme="minorHAnsi"/>
          <w:lang w:val="en-US"/>
        </w:rPr>
      </w:pPr>
    </w:p>
    <w:p w14:paraId="75EEDB8E" w14:textId="77777777" w:rsidR="003317AE" w:rsidRPr="003317AE" w:rsidRDefault="003317AE" w:rsidP="003317AE">
      <w:pPr>
        <w:tabs>
          <w:tab w:val="left" w:pos="900"/>
        </w:tabs>
        <w:spacing w:after="0" w:line="240" w:lineRule="auto"/>
        <w:rPr>
          <w:rFonts w:eastAsiaTheme="minorHAnsi"/>
          <w:lang w:val="en-US"/>
        </w:rPr>
      </w:pPr>
      <w:r w:rsidRPr="003317AE">
        <w:rPr>
          <w:rFonts w:eastAsiaTheme="minorHAnsi"/>
          <w:lang w:val="en-US"/>
        </w:rPr>
        <w:t xml:space="preserve">Such misinterpretations of lithologic descriptions contained in geologic reports are pervasive in Goren and his coworkers’ manuscripts. For every formation named in Goren et al. (2004), a review of the published lithologic descriptions for that formation is likely to reveal that formation composition is far more complex than the synoptic descriptions offered on a geologic map. As the Eaton and Robertson (1993) description shows, formations can vary significantly in character and composition laterally. A formation that is marl in one place could be a sandy limestone several kilometers away. This lithologic change will not be noted on a geologic map. </w:t>
      </w:r>
    </w:p>
    <w:p w14:paraId="6769DBA8" w14:textId="77777777" w:rsidR="003317AE" w:rsidRPr="003317AE" w:rsidRDefault="003317AE" w:rsidP="003317AE">
      <w:pPr>
        <w:tabs>
          <w:tab w:val="left" w:pos="900"/>
        </w:tabs>
        <w:spacing w:after="0" w:line="240" w:lineRule="auto"/>
        <w:rPr>
          <w:rFonts w:eastAsiaTheme="minorHAnsi"/>
          <w:lang w:val="en-US"/>
        </w:rPr>
      </w:pPr>
    </w:p>
    <w:p w14:paraId="631CACA6" w14:textId="77777777" w:rsidR="003317AE" w:rsidRPr="003317AE" w:rsidRDefault="003317AE" w:rsidP="003317AE">
      <w:pPr>
        <w:tabs>
          <w:tab w:val="left" w:pos="900"/>
        </w:tabs>
        <w:spacing w:after="0" w:line="240" w:lineRule="auto"/>
        <w:rPr>
          <w:rFonts w:eastAsiaTheme="minorHAnsi"/>
          <w:lang w:val="en-US"/>
        </w:rPr>
      </w:pPr>
      <w:r w:rsidRPr="003317AE">
        <w:rPr>
          <w:rFonts w:eastAsiaTheme="minorHAnsi"/>
          <w:lang w:val="en-US"/>
        </w:rPr>
        <w:t xml:space="preserve">Given the lateral complexity of sedimentary systems, it is not surprising that one might want to reduce this complexity to a simplistic map reference. This strategy removes the need to find actual clay or temper deposits with characteristics similar to the artefact. Using a map reference allows one to simply postulate that suitable clay/temper deposits must be nearby, because the map shows formations that are likely to have appropriate lithologies in the general area. By not making an effort to collect and analyze representative clays and tempers from around an excavation, Goren and his coworkers miss an opportunity to improve existing databases and to develop a better understanding of sediment geochemistry variations that will significantly improve future provenance determinations. Goren and his coworkers prefer to ignore the fact that modern NAA databases are so useful today because they are the product of 50 years of data accumulation. Instead of arbitrarily declaring that these databases are flawed and then using untested and seriously flawed analytical methodologies that deliver unreliable provenance data, Goren would contribute more to ongoing research by working to properly expand existing databases. </w:t>
      </w:r>
    </w:p>
    <w:p w14:paraId="5E18365E" w14:textId="77777777" w:rsidR="003317AE" w:rsidRPr="003317AE" w:rsidRDefault="003317AE" w:rsidP="003317AE">
      <w:pPr>
        <w:tabs>
          <w:tab w:val="left" w:pos="900"/>
        </w:tabs>
        <w:spacing w:after="0" w:line="240" w:lineRule="auto"/>
        <w:rPr>
          <w:rFonts w:eastAsiaTheme="minorHAnsi"/>
          <w:lang w:val="en-US"/>
        </w:rPr>
      </w:pPr>
    </w:p>
    <w:p w14:paraId="61EA9AB9" w14:textId="77777777" w:rsidR="003317AE" w:rsidRPr="003317AE" w:rsidRDefault="003317AE" w:rsidP="003317AE">
      <w:pPr>
        <w:tabs>
          <w:tab w:val="left" w:pos="900"/>
        </w:tabs>
        <w:spacing w:after="0" w:line="240" w:lineRule="auto"/>
        <w:rPr>
          <w:rFonts w:eastAsiaTheme="minorHAnsi"/>
          <w:lang w:val="en-US"/>
        </w:rPr>
      </w:pPr>
      <w:r w:rsidRPr="003317AE">
        <w:rPr>
          <w:rFonts w:eastAsiaTheme="minorHAnsi"/>
          <w:lang w:val="en-US"/>
        </w:rPr>
        <w:t xml:space="preserve">Goren et al. (2004) and Cohen-Weinberger and Goren (2004) make constant reference to the fact that the geologic maps show that suitable formations are locally present to provide clay for pottery manufacture. Implicit in their statements is the assumption that the clay is derived from these formations, but never do they point </w:t>
      </w:r>
      <w:r w:rsidRPr="003317AE">
        <w:rPr>
          <w:rFonts w:eastAsiaTheme="minorHAnsi"/>
          <w:lang w:val="en-US"/>
        </w:rPr>
        <w:lastRenderedPageBreak/>
        <w:t xml:space="preserve">to a quarry where this clay had been mined from the named formation. Clay for pottery manufacture can be obtained in two ways. The rock in formations that are predominantly clay can be mined, crushed and processed until a material suitable for a potter has been produced. This is difficult work. It is much simpler to harvest and process soft alluvial clay. If geologic maps are studied where alluvial clay is being mined today to provide material for village potters, the reader will find that most clay pits that do not exploit a specific rock formation will be mapped as “Quaternary alluvium.” The clays in these pits may be derived in part from the erosion of local formations, but they will also be mixed with materials washed in from other places within the watershed. This situation has significant geochemical implications. Clays that are mined and processed directly from </w:t>
      </w:r>
      <w:r w:rsidRPr="003317AE">
        <w:rPr>
          <w:rFonts w:eastAsiaTheme="minorHAnsi"/>
          <w:i/>
          <w:lang w:val="en-US"/>
        </w:rPr>
        <w:t>in situ</w:t>
      </w:r>
      <w:r w:rsidRPr="003317AE">
        <w:rPr>
          <w:rFonts w:eastAsiaTheme="minorHAnsi"/>
          <w:lang w:val="en-US"/>
        </w:rPr>
        <w:t xml:space="preserve"> rock will have the geochemical profile that prevailed when that rock was first deposited. That profile can be completely different from the current watershed’s geochemical profile. But, when that rock is eroded, its geochemistry becomes part of all downstream sediments. For this reason, consideration of the geologic map alone is a poor tool for understanding provenance. The complex origin of alluvial clay deposits requires that an extensive range of reference clays must be collected as comparative materials to support both petrographic and especially chemical testing.</w:t>
      </w:r>
    </w:p>
    <w:p w14:paraId="003E9E9A" w14:textId="77777777" w:rsidR="003317AE" w:rsidRPr="003317AE" w:rsidRDefault="003317AE" w:rsidP="003317AE">
      <w:pPr>
        <w:tabs>
          <w:tab w:val="left" w:pos="900"/>
        </w:tabs>
        <w:spacing w:after="0" w:line="240" w:lineRule="auto"/>
        <w:rPr>
          <w:rFonts w:eastAsiaTheme="minorHAnsi"/>
          <w:lang w:val="en-US"/>
        </w:rPr>
      </w:pPr>
    </w:p>
    <w:p w14:paraId="7D5722ED" w14:textId="77777777" w:rsidR="003317AE" w:rsidRPr="003317AE" w:rsidRDefault="003317AE" w:rsidP="003317AE">
      <w:pPr>
        <w:tabs>
          <w:tab w:val="left" w:pos="900"/>
        </w:tabs>
        <w:spacing w:after="0" w:line="240" w:lineRule="auto"/>
        <w:rPr>
          <w:rFonts w:eastAsiaTheme="minorHAnsi"/>
          <w:lang w:val="en-US"/>
        </w:rPr>
      </w:pPr>
      <w:r w:rsidRPr="003317AE">
        <w:rPr>
          <w:rFonts w:eastAsiaTheme="minorHAnsi"/>
          <w:lang w:val="en-US"/>
        </w:rPr>
        <w:t>Porat and Goren (2002) and Goren et al. (2003, 2004) make the specious argument that chemical databases are incomplete because atypical clays were chosen to manufacture specialized artefacts (like clay tablets) and chemical analyses of these clays are not contained within the reference databases. If these workers see this as a problem, the simplest solution is for these workers to collect samples of these clays to be analysed and added to the database. Porat and Goren (2002) also make the claim that inappropriate reference materials (like cooking pots and mud bricks</w:t>
      </w:r>
      <w:r w:rsidRPr="003317AE">
        <w:rPr>
          <w:rFonts w:eastAsiaTheme="minorHAnsi"/>
          <w:vertAlign w:val="superscript"/>
          <w:lang w:val="en-US"/>
        </w:rPr>
        <w:footnoteReference w:id="77"/>
      </w:r>
      <w:r w:rsidRPr="003317AE">
        <w:rPr>
          <w:rFonts w:eastAsiaTheme="minorHAnsi"/>
          <w:lang w:val="en-US"/>
        </w:rPr>
        <w:t xml:space="preserve">) have been sampled to build existing databases and these clay samples are irrelevant. Misconceptions like these make it clear that (a) Goren and his coworkers do not understand the value of building a comprehensive reference database that captures the characteristics of every type of local clay that manufacturers might use, and (b) do not understand the nature of clay deposits. Acquiring as </w:t>
      </w:r>
      <w:r w:rsidRPr="003317AE">
        <w:rPr>
          <w:rFonts w:eastAsiaTheme="minorHAnsi"/>
          <w:lang w:val="en-US"/>
        </w:rPr>
        <w:lastRenderedPageBreak/>
        <w:t>broad a sampling of all of the various types of clays being used by a society increases the likelihood that a properly executed multivariate statistical analysis will more clearly define provenance groups. Pretending that clay tablets are somehow unique and special and therefore their chemistry and petrography cannot be studied using standard methodology</w:t>
      </w:r>
      <w:r w:rsidRPr="003317AE">
        <w:rPr>
          <w:rFonts w:eastAsiaTheme="minorHAnsi"/>
          <w:vertAlign w:val="superscript"/>
          <w:lang w:val="en-US"/>
        </w:rPr>
        <w:footnoteReference w:id="78"/>
      </w:r>
      <w:r w:rsidRPr="003317AE">
        <w:rPr>
          <w:rFonts w:eastAsiaTheme="minorHAnsi"/>
          <w:lang w:val="en-US"/>
        </w:rPr>
        <w:t xml:space="preserve"> is an indefensible argument. This is particularly true when dealing with Levantine marls which are used widely to make both tablets and earthenware vessels throughout the region (Goren 1995, 1996; Porat and Goren 2002; Goren et al. 2003; Cohen-Weinberger and Goren 2004; Goren et al. 2004; Master 2018). This widespread usage of such clays would seem to negate the argument that Goren et al. (2004) make that the compositions of clay tablets are not likely to match any known clay source.</w:t>
      </w:r>
      <w:r w:rsidRPr="003317AE">
        <w:rPr>
          <w:rFonts w:eastAsiaTheme="minorHAnsi"/>
          <w:vertAlign w:val="superscript"/>
          <w:lang w:val="en-US"/>
        </w:rPr>
        <w:footnoteReference w:id="79"/>
      </w:r>
      <w:r w:rsidRPr="003317AE">
        <w:rPr>
          <w:rFonts w:eastAsiaTheme="minorHAnsi"/>
          <w:lang w:val="en-US"/>
        </w:rPr>
        <w:t xml:space="preserve"> This argument seems to have been designed to create an artificial class of objects for which standard analytical techniques can be ignored and new, untested techniques be used instead. </w:t>
      </w:r>
    </w:p>
    <w:p w14:paraId="12E3EC04" w14:textId="77777777" w:rsidR="003317AE" w:rsidRPr="003317AE" w:rsidRDefault="003317AE" w:rsidP="003317AE">
      <w:pPr>
        <w:tabs>
          <w:tab w:val="left" w:pos="900"/>
        </w:tabs>
        <w:spacing w:after="0" w:line="240" w:lineRule="auto"/>
        <w:rPr>
          <w:rFonts w:eastAsiaTheme="minorHAnsi"/>
          <w:lang w:val="en-US"/>
        </w:rPr>
      </w:pPr>
    </w:p>
    <w:p w14:paraId="4CE2185D" w14:textId="15AE3A77" w:rsidR="003317AE" w:rsidRPr="003317AE" w:rsidRDefault="003317AE" w:rsidP="003317AE">
      <w:pPr>
        <w:tabs>
          <w:tab w:val="left" w:pos="900"/>
        </w:tabs>
        <w:spacing w:after="0" w:line="240" w:lineRule="auto"/>
        <w:rPr>
          <w:rFonts w:eastAsiaTheme="minorHAnsi"/>
          <w:lang w:val="en-US"/>
        </w:rPr>
      </w:pPr>
      <w:r w:rsidRPr="003317AE">
        <w:rPr>
          <w:rFonts w:eastAsiaTheme="minorHAnsi"/>
          <w:lang w:val="en-US"/>
        </w:rPr>
        <w:t>From a petrographic standpoint, Goren’s (1995) comment that “The distribution of the Taqiya Formation is widespread and therefore cannot be used for a definitive provenance distinction</w:t>
      </w:r>
      <w:r w:rsidRPr="003317AE">
        <w:rPr>
          <w:rFonts w:eastAsiaTheme="minorHAnsi"/>
          <w:vertAlign w:val="superscript"/>
          <w:lang w:val="en-US"/>
        </w:rPr>
        <w:footnoteReference w:id="80"/>
      </w:r>
      <w:r w:rsidRPr="003317AE">
        <w:rPr>
          <w:rFonts w:eastAsiaTheme="minorHAnsi"/>
          <w:lang w:val="en-US"/>
        </w:rPr>
        <w:t xml:space="preserve">” might </w:t>
      </w:r>
      <w:r w:rsidRPr="003317AE">
        <w:rPr>
          <w:rFonts w:eastAsiaTheme="minorHAnsi"/>
          <w:i/>
          <w:lang w:val="en-US"/>
        </w:rPr>
        <w:t>possibly</w:t>
      </w:r>
      <w:r w:rsidRPr="003317AE">
        <w:rPr>
          <w:rFonts w:eastAsiaTheme="minorHAnsi"/>
          <w:lang w:val="en-US"/>
        </w:rPr>
        <w:t xml:space="preserve"> be correct, but given the geology of the Taqiye Formation, properly executed petrographic point counts are likely to reveal minor but systematic regional variations in mineral constituents. Analysis of the trace element profiles would almost certainly show regional variations. To understand why this is true, one needs to consider the Cretaceous and Paleogene paleogeographic reconstructions of the Levant (see Scotese 2001, 2014) and details of the depositional history (see e.g. Kuss et al. 2003). During the Cretaceous, northern Africa and the Levant were submerged beneath a shallow epicontinental sea slightly north of the equator of that time. Carbonate deposition predominated forming reefs and other types of limestone when terrigenous sediment input was limited</w:t>
      </w:r>
      <w:r w:rsidR="00EE4746">
        <w:rPr>
          <w:rFonts w:eastAsiaTheme="minorHAnsi"/>
          <w:lang w:val="en-US"/>
        </w:rPr>
        <w:t xml:space="preserve">, whereas </w:t>
      </w:r>
      <w:r w:rsidRPr="003317AE">
        <w:rPr>
          <w:rFonts w:eastAsiaTheme="minorHAnsi"/>
          <w:lang w:val="en-US"/>
        </w:rPr>
        <w:t xml:space="preserve">marls </w:t>
      </w:r>
      <w:r w:rsidR="00EE4746">
        <w:rPr>
          <w:rFonts w:eastAsiaTheme="minorHAnsi"/>
          <w:lang w:val="en-US"/>
        </w:rPr>
        <w:t xml:space="preserve">formed </w:t>
      </w:r>
      <w:r w:rsidRPr="003317AE">
        <w:rPr>
          <w:rFonts w:eastAsiaTheme="minorHAnsi"/>
          <w:lang w:val="en-US"/>
        </w:rPr>
        <w:t>when</w:t>
      </w:r>
      <w:r w:rsidR="00EE4746">
        <w:rPr>
          <w:rFonts w:eastAsiaTheme="minorHAnsi"/>
          <w:lang w:val="en-US"/>
        </w:rPr>
        <w:t xml:space="preserve"> and </w:t>
      </w:r>
      <w:r w:rsidRPr="003317AE">
        <w:rPr>
          <w:rFonts w:eastAsiaTheme="minorHAnsi"/>
          <w:lang w:val="en-US"/>
        </w:rPr>
        <w:t xml:space="preserve">where more clay was being added to the depositional system (see Sass and Bein 1982 to get a sense of how quickly local lateral facies changes occur). There were at least three major sea level changes that occurred during this time that significantly altered land-sea boundaries (Flexer et al. 1986). These sorts of changes have provenance implications. A formation like the Taqiye and its various lateral equivalents as discussed in Goren et </w:t>
      </w:r>
      <w:r w:rsidRPr="003317AE">
        <w:rPr>
          <w:rFonts w:eastAsiaTheme="minorHAnsi"/>
          <w:lang w:val="en-US"/>
        </w:rPr>
        <w:lastRenderedPageBreak/>
        <w:t>al (2004) may occur from Morocco to Turkey, Syria, Jordan, and possibly as far east as Iraq, but there will be regional differences in the specific characteristics of this formation. This may be less true for formations like the Moza Formation (Scarpa 1990), which was deposited during a time of relative geologic quiescence in the region, but the Taqiye accumulated during a time of geologic upheaval when the collision between Africa and Eurasia was well underway. All manner of volcanic and plutonic rocks were being erupted and emplaced, and existing rocks metamorphosed leading to the development of very complex regional trace element profiles (Adatte et al. 2005; Dupuis et al. 2005). Without realizing the implications of their statement, Goren et al. (2004) admit the existence of this variability when they cite the Schreier (1988) analysis of the Esna clays (the Egyptian equivalent of the Taqiye). Goren points out that Schreier noted that the clay chemistry changes from bed to bed within the formation</w:t>
      </w:r>
      <w:r w:rsidRPr="003317AE">
        <w:rPr>
          <w:rFonts w:eastAsiaTheme="minorHAnsi"/>
          <w:vertAlign w:val="superscript"/>
          <w:lang w:val="en-US"/>
        </w:rPr>
        <w:footnoteReference w:id="81"/>
      </w:r>
      <w:r w:rsidRPr="003317AE">
        <w:rPr>
          <w:rFonts w:eastAsiaTheme="minorHAnsi"/>
          <w:lang w:val="en-US"/>
        </w:rPr>
        <w:t xml:space="preserve">. By avoiding the systematic sampling of Taqiye marls and their correlatives from around their excavations, Goren and his coworkers have missed the opportunity to better understand the regional variability of the Taqiye marls and the other important marls used in pottery manufacture. </w:t>
      </w:r>
    </w:p>
    <w:p w14:paraId="18CD897F" w14:textId="77777777" w:rsidR="003317AE" w:rsidRPr="003317AE" w:rsidRDefault="003317AE" w:rsidP="003317AE">
      <w:pPr>
        <w:tabs>
          <w:tab w:val="left" w:pos="900"/>
        </w:tabs>
        <w:spacing w:after="0" w:line="240" w:lineRule="auto"/>
        <w:rPr>
          <w:rFonts w:eastAsiaTheme="minorHAnsi"/>
          <w:lang w:val="en-US"/>
        </w:rPr>
      </w:pPr>
    </w:p>
    <w:p w14:paraId="20207B38" w14:textId="77777777" w:rsidR="003317AE" w:rsidRPr="003317AE" w:rsidRDefault="003317AE" w:rsidP="003317AE">
      <w:pPr>
        <w:tabs>
          <w:tab w:val="left" w:pos="900"/>
        </w:tabs>
        <w:spacing w:after="0" w:line="240" w:lineRule="auto"/>
        <w:rPr>
          <w:rFonts w:eastAsiaTheme="minorHAnsi"/>
          <w:lang w:val="en-US"/>
        </w:rPr>
      </w:pPr>
      <w:r w:rsidRPr="003317AE">
        <w:rPr>
          <w:rFonts w:eastAsiaTheme="minorHAnsi"/>
          <w:lang w:val="en-US"/>
        </w:rPr>
        <w:t xml:space="preserve">Goren et al. (2004) also makes reference to the Esna being </w:t>
      </w:r>
      <w:r w:rsidRPr="003317AE">
        <w:rPr>
          <w:rFonts w:eastAsiaTheme="minorHAnsi"/>
          <w:i/>
          <w:lang w:val="en-US"/>
        </w:rPr>
        <w:t>equivalent</w:t>
      </w:r>
      <w:r w:rsidRPr="003317AE">
        <w:rPr>
          <w:rFonts w:eastAsiaTheme="minorHAnsi"/>
          <w:lang w:val="en-US"/>
        </w:rPr>
        <w:t xml:space="preserve"> to the Taqiye.</w:t>
      </w:r>
      <w:r w:rsidRPr="003317AE">
        <w:rPr>
          <w:rFonts w:eastAsiaTheme="minorHAnsi"/>
          <w:vertAlign w:val="superscript"/>
          <w:lang w:val="en-US"/>
        </w:rPr>
        <w:footnoteReference w:id="82"/>
      </w:r>
      <w:r w:rsidRPr="003317AE">
        <w:rPr>
          <w:rFonts w:eastAsiaTheme="minorHAnsi"/>
          <w:lang w:val="en-US"/>
        </w:rPr>
        <w:t xml:space="preserve"> The Esna is NOT equivalent, it is correlative. The two concepts differ significantly. The two formations may have been deposited at the same time but they accumulated in different places and under very different erosional and depositional influences. </w:t>
      </w:r>
    </w:p>
    <w:p w14:paraId="1923E205" w14:textId="77777777" w:rsidR="003317AE" w:rsidRPr="003317AE" w:rsidRDefault="003317AE" w:rsidP="003317AE">
      <w:pPr>
        <w:tabs>
          <w:tab w:val="left" w:pos="900"/>
        </w:tabs>
        <w:spacing w:after="0" w:line="240" w:lineRule="auto"/>
        <w:rPr>
          <w:rFonts w:eastAsiaTheme="minorHAnsi"/>
          <w:lang w:val="en-US"/>
        </w:rPr>
      </w:pPr>
    </w:p>
    <w:p w14:paraId="10A2A905" w14:textId="77777777" w:rsidR="003317AE" w:rsidRPr="003317AE" w:rsidRDefault="003317AE" w:rsidP="003317AE">
      <w:pPr>
        <w:tabs>
          <w:tab w:val="left" w:pos="900"/>
        </w:tabs>
        <w:spacing w:after="0" w:line="240" w:lineRule="auto"/>
        <w:rPr>
          <w:rFonts w:eastAsiaTheme="minorHAnsi"/>
          <w:lang w:val="en-US"/>
        </w:rPr>
      </w:pPr>
      <w:r w:rsidRPr="003317AE">
        <w:rPr>
          <w:rFonts w:eastAsiaTheme="minorHAnsi"/>
          <w:lang w:val="en-US"/>
        </w:rPr>
        <w:t>Goren et al. (2004) spend two pages</w:t>
      </w:r>
      <w:r w:rsidRPr="003317AE">
        <w:rPr>
          <w:rFonts w:eastAsiaTheme="minorHAnsi"/>
          <w:vertAlign w:val="superscript"/>
          <w:lang w:val="en-US"/>
        </w:rPr>
        <w:footnoteReference w:id="83"/>
      </w:r>
      <w:r w:rsidRPr="003317AE">
        <w:rPr>
          <w:rFonts w:eastAsiaTheme="minorHAnsi"/>
          <w:lang w:val="en-US"/>
        </w:rPr>
        <w:t xml:space="preserve"> discussing how modern potters locate their manufactories near to their source of raw materials. The studies referenced by Goren indicate that modern potters rarely forage more than 10 km from their workshops for clay, and significantly shorter distances for temper. On the basis of these modern studies, Goren defines his CTF as being the geologic diversity within a 10 km radius of the manufactory</w:t>
      </w:r>
      <w:r w:rsidRPr="003317AE">
        <w:rPr>
          <w:rFonts w:eastAsiaTheme="minorHAnsi"/>
          <w:vertAlign w:val="superscript"/>
          <w:lang w:val="en-US"/>
        </w:rPr>
        <w:footnoteReference w:id="84"/>
      </w:r>
      <w:r w:rsidRPr="003317AE">
        <w:rPr>
          <w:rFonts w:eastAsiaTheme="minorHAnsi"/>
          <w:lang w:val="en-US"/>
        </w:rPr>
        <w:t xml:space="preserve">. After spending pages defining his criteria for the CTF, it is curious to see Goren abandon these criteria in discussing </w:t>
      </w:r>
      <w:r w:rsidRPr="003317AE">
        <w:rPr>
          <w:rFonts w:eastAsiaTheme="minorHAnsi"/>
          <w:lang w:val="en-US"/>
        </w:rPr>
        <w:lastRenderedPageBreak/>
        <w:t xml:space="preserve">the Amarna tablets. The reasoning behind the Goren et al. (2004) claim that the Esna shale is the ONLY possible clay source for his selected group of Amarna tablets is difficult to accept when they don’t present comparative analytical chemistry data from any potential clay sources. Instead the authors claim that their conclusions are supported by chemical analyses of clay bodies presented in three geological studies (Basta et al. 1979; Schreier 1988; Ahmed et al. 1992). This evidence is inconsistent with their CTF claim that clay sources are unlikely to be more than 10 km away from the site of artifact manufacture. The samples analysed in the cited geologic reports were collected much farther away than the maximum 10 km from the Amarna site. The Beris Oasis, for example, is more than 325 km southwest of Amarna and more than 240 km distant from the nearest bank of the Nile River. Even if Goren’s argument is correct that the Esna clay was harvested from places distant from Amarna but accessible to river transport, it is unlikely that anyone would travel 240 km into the Western Desert to acquire clay for tablet manufacture. </w:t>
      </w:r>
    </w:p>
    <w:p w14:paraId="4B3AD811" w14:textId="77777777" w:rsidR="003317AE" w:rsidRPr="003317AE" w:rsidRDefault="003317AE" w:rsidP="003317AE">
      <w:pPr>
        <w:tabs>
          <w:tab w:val="left" w:pos="900"/>
        </w:tabs>
        <w:spacing w:after="0" w:line="240" w:lineRule="auto"/>
        <w:rPr>
          <w:rFonts w:eastAsiaTheme="minorHAnsi"/>
          <w:lang w:val="en-US"/>
        </w:rPr>
      </w:pPr>
    </w:p>
    <w:p w14:paraId="2B7FE74F" w14:textId="77777777" w:rsidR="003317AE" w:rsidRPr="003317AE" w:rsidRDefault="003317AE" w:rsidP="003317AE">
      <w:pPr>
        <w:tabs>
          <w:tab w:val="left" w:pos="900"/>
        </w:tabs>
        <w:spacing w:after="0" w:line="240" w:lineRule="auto"/>
        <w:rPr>
          <w:rFonts w:eastAsiaTheme="minorHAnsi"/>
          <w:lang w:val="en-US"/>
        </w:rPr>
      </w:pPr>
      <w:r w:rsidRPr="003317AE">
        <w:rPr>
          <w:rFonts w:eastAsiaTheme="minorHAnsi"/>
          <w:lang w:val="en-US"/>
        </w:rPr>
        <w:t xml:space="preserve">Using the clay chemistry from these geologic reports introduces additional interpretational problems. By Goren’s admission these reports only provide major element chemistry. Major element analyses provides chemical information about the clay minerals but contains no significant trace element fingerprint data. Schreier’s report confirms the regional variability in trace element chemistry for the paleogeographic reasons discussed above, so it is precarious to suggest that clay sources separated by millions of years in time and by hundreds of kilometers in space would have the same geochemical signatures. And this discussion assumes that Goren’s tablet chemistry data are valid in the first place given the substandard sample sizes (see below). </w:t>
      </w:r>
    </w:p>
    <w:p w14:paraId="64D98116" w14:textId="77777777" w:rsidR="003317AE" w:rsidRPr="003317AE" w:rsidRDefault="003317AE" w:rsidP="003317AE">
      <w:pPr>
        <w:tabs>
          <w:tab w:val="left" w:pos="900"/>
        </w:tabs>
        <w:spacing w:after="0" w:line="240" w:lineRule="auto"/>
        <w:rPr>
          <w:rFonts w:eastAsiaTheme="minorHAnsi"/>
          <w:lang w:val="en-US"/>
        </w:rPr>
      </w:pPr>
    </w:p>
    <w:p w14:paraId="073A1C76" w14:textId="25C489B6" w:rsidR="003317AE" w:rsidRPr="003317AE" w:rsidRDefault="003317AE" w:rsidP="003317AE">
      <w:pPr>
        <w:tabs>
          <w:tab w:val="left" w:pos="900"/>
        </w:tabs>
        <w:spacing w:after="0" w:line="240" w:lineRule="auto"/>
        <w:rPr>
          <w:rFonts w:eastAsiaTheme="minorHAnsi"/>
          <w:lang w:val="en-US"/>
        </w:rPr>
      </w:pPr>
      <w:r w:rsidRPr="003317AE">
        <w:rPr>
          <w:rFonts w:eastAsiaTheme="minorHAnsi"/>
          <w:lang w:val="en-US"/>
        </w:rPr>
        <w:t xml:space="preserve">Goren and his coworkers do not fully understand biostratigraphic applications. For example, in Chapter 3, I. Egypt, they discuss the evidence that the Esna shale is the primary clay source for many of the Egyptian tablets. As </w:t>
      </w:r>
      <w:r w:rsidR="00EE4746">
        <w:rPr>
          <w:rFonts w:eastAsiaTheme="minorHAnsi"/>
          <w:lang w:val="en-US"/>
        </w:rPr>
        <w:t xml:space="preserve">part of </w:t>
      </w:r>
      <w:r w:rsidRPr="003317AE">
        <w:rPr>
          <w:rFonts w:eastAsiaTheme="minorHAnsi"/>
          <w:lang w:val="en-US"/>
        </w:rPr>
        <w:t xml:space="preserve">their evidence, they mention that tablet EA-357 was found to contain several (badly preserved) foram genera that could be referred to the Paleogene and, therefore, must have come from the Esna Formation. The Paleogene Period is very different from </w:t>
      </w:r>
      <w:r w:rsidRPr="003317AE">
        <w:rPr>
          <w:rFonts w:eastAsiaTheme="minorHAnsi"/>
          <w:lang w:val="en-US"/>
        </w:rPr>
        <w:lastRenderedPageBreak/>
        <w:t>the Paleocene Epoch</w:t>
      </w:r>
      <w:r w:rsidRPr="003317AE">
        <w:rPr>
          <w:rFonts w:eastAsiaTheme="minorHAnsi"/>
          <w:vertAlign w:val="superscript"/>
          <w:lang w:val="en-US"/>
        </w:rPr>
        <w:footnoteReference w:id="85"/>
      </w:r>
      <w:r w:rsidRPr="003317AE">
        <w:rPr>
          <w:rFonts w:eastAsiaTheme="minorHAnsi"/>
          <w:lang w:val="en-US"/>
        </w:rPr>
        <w:t xml:space="preserve">. The Paleogene spans the time from 66 MYBP to 23 MYBP, the Paleocene from 66 MYBP to 56MYBP. Though it is true that the Paleocene Esna shales and marls are widespread across Egypt (Aubry et al. 2007; Obaidalla et al. 2015), there are other Paleogene marl bearing formations in the country (e.g. Sallam et al. 2015; King et al. 2017) . These are admittedly minor, but Goren and coworkers have not eliminated these as possibilities. </w:t>
      </w:r>
    </w:p>
    <w:p w14:paraId="5B628AD2" w14:textId="77777777" w:rsidR="003317AE" w:rsidRPr="003317AE" w:rsidRDefault="003317AE" w:rsidP="003317AE">
      <w:pPr>
        <w:tabs>
          <w:tab w:val="left" w:pos="900"/>
        </w:tabs>
        <w:spacing w:after="0" w:line="240" w:lineRule="auto"/>
        <w:rPr>
          <w:rFonts w:eastAsiaTheme="minorHAnsi"/>
          <w:lang w:val="en-US"/>
        </w:rPr>
      </w:pPr>
    </w:p>
    <w:p w14:paraId="6E747DB7" w14:textId="003011F9" w:rsidR="003317AE" w:rsidRPr="003317AE" w:rsidRDefault="003317AE" w:rsidP="003317AE">
      <w:pPr>
        <w:spacing w:after="200" w:line="240" w:lineRule="auto"/>
        <w:rPr>
          <w:rFonts w:eastAsiaTheme="minorHAnsi"/>
          <w:lang w:val="en-US"/>
        </w:rPr>
      </w:pPr>
      <w:r w:rsidRPr="003317AE">
        <w:rPr>
          <w:rFonts w:eastAsiaTheme="minorHAnsi"/>
          <w:lang w:val="en-US"/>
        </w:rPr>
        <w:t>Map scale and map age are also concerns. Geologists’ understanding of rock units evolves over time and formation definitions become more refined. Old maps</w:t>
      </w:r>
      <w:r w:rsidRPr="003317AE">
        <w:rPr>
          <w:rFonts w:eastAsiaTheme="minorHAnsi"/>
          <w:vertAlign w:val="superscript"/>
          <w:lang w:val="en-US"/>
        </w:rPr>
        <w:footnoteReference w:id="86"/>
      </w:r>
      <w:r w:rsidRPr="003317AE">
        <w:rPr>
          <w:rFonts w:eastAsiaTheme="minorHAnsi"/>
          <w:lang w:val="en-US"/>
        </w:rPr>
        <w:t xml:space="preserve"> rarely reflect modern thinking. The information quality on the map is determined by the capabilities of the mapper. Skilled mappers identify more details and map more accurately than less skilled or inexperienced mappers and map makers (Campbell 2005; Wilson 2016). Large scale maps, by their very nature, will show significantly less detail than small scale maps. One needs only to look at the visual comparison between the two scales to realize that a map can potentially obscure the occurrence of numerous suitable clay or temper containing formation outcrops simply because they are too small to be shown at 1:250,000 but can easily be shown at 1:50,000 (see USGS 2002; USGS 2019). The authors only occasionally identify the age and/or scale of the maps they are using. </w:t>
      </w:r>
    </w:p>
    <w:p w14:paraId="0607D71C" w14:textId="77777777" w:rsidR="003317AE" w:rsidRPr="003317AE" w:rsidRDefault="003317AE" w:rsidP="003317AE">
      <w:pPr>
        <w:spacing w:after="200" w:line="240" w:lineRule="auto"/>
        <w:rPr>
          <w:rFonts w:eastAsiaTheme="minorHAnsi"/>
          <w:b/>
          <w:szCs w:val="24"/>
          <w:lang w:val="en-US"/>
        </w:rPr>
      </w:pPr>
      <w:r w:rsidRPr="003317AE">
        <w:rPr>
          <w:rFonts w:eastAsiaTheme="minorHAnsi"/>
          <w:b/>
          <w:szCs w:val="24"/>
          <w:lang w:val="en-US"/>
        </w:rPr>
        <w:t>Geologic Terms Misused and Misunderstood</w:t>
      </w:r>
    </w:p>
    <w:p w14:paraId="75D409F0" w14:textId="3C8296FD" w:rsidR="003317AE" w:rsidRPr="003317AE" w:rsidRDefault="003317AE" w:rsidP="003317AE">
      <w:pPr>
        <w:tabs>
          <w:tab w:val="left" w:pos="900"/>
        </w:tabs>
        <w:spacing w:after="0" w:line="240" w:lineRule="auto"/>
        <w:rPr>
          <w:rFonts w:eastAsiaTheme="minorHAnsi"/>
          <w:lang w:val="en-US"/>
        </w:rPr>
      </w:pPr>
      <w:r w:rsidRPr="003317AE">
        <w:rPr>
          <w:rFonts w:eastAsiaTheme="minorHAnsi"/>
          <w:lang w:val="en-US"/>
        </w:rPr>
        <w:t xml:space="preserve">Goren and his coworkers use geologic terms throughout their manuscripts. Unfortunately, they use terms incorrectly with such frequency that they create the impression that they </w:t>
      </w:r>
      <w:r w:rsidR="00B5207F">
        <w:rPr>
          <w:rFonts w:eastAsiaTheme="minorHAnsi"/>
          <w:lang w:val="en-US"/>
        </w:rPr>
        <w:t xml:space="preserve">likely </w:t>
      </w:r>
      <w:r w:rsidRPr="003317AE">
        <w:rPr>
          <w:rFonts w:eastAsiaTheme="minorHAnsi"/>
          <w:lang w:val="en-US"/>
        </w:rPr>
        <w:t>do not understand the science behind the words they use. For example:</w:t>
      </w:r>
    </w:p>
    <w:p w14:paraId="628E21F0" w14:textId="77777777" w:rsidR="003317AE" w:rsidRPr="003317AE" w:rsidRDefault="003317AE" w:rsidP="003317AE">
      <w:pPr>
        <w:numPr>
          <w:ilvl w:val="0"/>
          <w:numId w:val="9"/>
        </w:numPr>
        <w:tabs>
          <w:tab w:val="left" w:pos="900"/>
        </w:tabs>
        <w:spacing w:after="0" w:line="240" w:lineRule="auto"/>
        <w:contextualSpacing/>
        <w:rPr>
          <w:rFonts w:eastAsiaTheme="minorHAnsi"/>
          <w:lang w:val="en-US"/>
        </w:rPr>
      </w:pPr>
      <w:r w:rsidRPr="003317AE">
        <w:rPr>
          <w:rFonts w:eastAsiaTheme="minorHAnsi"/>
          <w:lang w:val="en-US"/>
        </w:rPr>
        <w:t>Goren (1996) states: “…argillaceous, ferruginous, shale-rich clay…</w:t>
      </w:r>
      <w:r w:rsidRPr="003317AE">
        <w:rPr>
          <w:rFonts w:eastAsiaTheme="minorHAnsi"/>
          <w:vertAlign w:val="superscript"/>
          <w:lang w:val="en-US"/>
        </w:rPr>
        <w:footnoteReference w:id="87"/>
      </w:r>
      <w:r w:rsidRPr="003317AE">
        <w:rPr>
          <w:rFonts w:eastAsiaTheme="minorHAnsi"/>
          <w:lang w:val="en-US"/>
        </w:rPr>
        <w:t xml:space="preserve">” This wording is the equivalent of saying clayey clay. Constantly referring to shale as being clayey indicates a lack of understanding of the nature of shale. Porat and Goren (2002) are also fond of referring to clayey clays. From a geologic perspective, this terminology makes no sense and it </w:t>
      </w:r>
      <w:r w:rsidRPr="003317AE">
        <w:rPr>
          <w:rFonts w:eastAsiaTheme="minorHAnsi"/>
          <w:lang w:val="en-US"/>
        </w:rPr>
        <w:lastRenderedPageBreak/>
        <w:t xml:space="preserve">would appear that the authors do not know the proper terminology to describe what they are observing under the microscope. </w:t>
      </w:r>
    </w:p>
    <w:p w14:paraId="01B8E7CE" w14:textId="77777777" w:rsidR="003317AE" w:rsidRPr="003317AE" w:rsidRDefault="003317AE" w:rsidP="003317AE">
      <w:pPr>
        <w:numPr>
          <w:ilvl w:val="0"/>
          <w:numId w:val="9"/>
        </w:numPr>
        <w:tabs>
          <w:tab w:val="left" w:pos="900"/>
        </w:tabs>
        <w:spacing w:after="0" w:line="240" w:lineRule="auto"/>
        <w:contextualSpacing/>
        <w:rPr>
          <w:rFonts w:eastAsiaTheme="minorHAnsi"/>
          <w:lang w:val="en-US"/>
        </w:rPr>
      </w:pPr>
      <w:r w:rsidRPr="003317AE">
        <w:rPr>
          <w:rFonts w:eastAsiaTheme="minorHAnsi"/>
          <w:lang w:val="en-US"/>
        </w:rPr>
        <w:t>Porat and Goren (2002) refer to a dolomitic clay that is noncalcareous</w:t>
      </w:r>
      <w:r w:rsidRPr="003317AE">
        <w:rPr>
          <w:rFonts w:eastAsiaTheme="minorHAnsi"/>
          <w:vertAlign w:val="superscript"/>
          <w:lang w:val="en-US"/>
        </w:rPr>
        <w:footnoteReference w:id="88"/>
      </w:r>
      <w:r w:rsidRPr="003317AE">
        <w:rPr>
          <w:rFonts w:eastAsiaTheme="minorHAnsi"/>
          <w:lang w:val="en-US"/>
        </w:rPr>
        <w:t>. This is terribly confusing terminology since it is, by definition, impossible. Dolomite is calcareous. Likely the author means that there are a small number of dolomite grains present in an otherwise carbonate free clay. They also refer to carbonate poor marls</w:t>
      </w:r>
      <w:r w:rsidRPr="003317AE">
        <w:rPr>
          <w:rFonts w:eastAsiaTheme="minorHAnsi"/>
          <w:vertAlign w:val="superscript"/>
          <w:lang w:val="en-US"/>
        </w:rPr>
        <w:footnoteReference w:id="89"/>
      </w:r>
      <w:r w:rsidRPr="003317AE">
        <w:rPr>
          <w:rFonts w:eastAsiaTheme="minorHAnsi"/>
          <w:lang w:val="en-US"/>
        </w:rPr>
        <w:t xml:space="preserve"> which is a contradiction in terms since marl is defined as “calcareous clay” (AGI 1962)</w:t>
      </w:r>
    </w:p>
    <w:p w14:paraId="2DA187BA" w14:textId="5805A558" w:rsidR="003317AE" w:rsidRPr="003317AE" w:rsidRDefault="003317AE" w:rsidP="003317AE">
      <w:pPr>
        <w:numPr>
          <w:ilvl w:val="0"/>
          <w:numId w:val="9"/>
        </w:numPr>
        <w:tabs>
          <w:tab w:val="left" w:pos="900"/>
        </w:tabs>
        <w:spacing w:after="0" w:line="240" w:lineRule="auto"/>
        <w:contextualSpacing/>
        <w:rPr>
          <w:rFonts w:eastAsiaTheme="minorHAnsi"/>
          <w:lang w:val="en-US"/>
        </w:rPr>
      </w:pPr>
      <w:r w:rsidRPr="003317AE">
        <w:rPr>
          <w:rFonts w:eastAsiaTheme="minorHAnsi"/>
          <w:lang w:val="en-US"/>
        </w:rPr>
        <w:t xml:space="preserve">Goren (1996), Cohen-Weinberger and Goren (2004), </w:t>
      </w:r>
      <w:r w:rsidR="005D7354">
        <w:rPr>
          <w:rFonts w:eastAsiaTheme="minorHAnsi"/>
          <w:lang w:val="en-US"/>
        </w:rPr>
        <w:t xml:space="preserve">and </w:t>
      </w:r>
      <w:r w:rsidRPr="003317AE">
        <w:rPr>
          <w:rFonts w:eastAsiaTheme="minorHAnsi"/>
          <w:lang w:val="en-US"/>
        </w:rPr>
        <w:t>Goren et al. (2003, 2004) all refer to “grains of arkose.</w:t>
      </w:r>
      <w:r w:rsidRPr="003317AE">
        <w:rPr>
          <w:rFonts w:eastAsiaTheme="minorHAnsi"/>
          <w:vertAlign w:val="superscript"/>
          <w:lang w:val="en-US"/>
        </w:rPr>
        <w:footnoteReference w:id="90"/>
      </w:r>
      <w:r w:rsidRPr="003317AE">
        <w:rPr>
          <w:rFonts w:eastAsiaTheme="minorHAnsi"/>
          <w:lang w:val="en-US"/>
        </w:rPr>
        <w:t xml:space="preserve">” Arkose is a </w:t>
      </w:r>
      <w:r w:rsidRPr="003317AE">
        <w:rPr>
          <w:rFonts w:eastAsiaTheme="minorHAnsi"/>
          <w:i/>
          <w:lang w:val="en-US"/>
        </w:rPr>
        <w:t>sandstone</w:t>
      </w:r>
      <w:r w:rsidRPr="003317AE">
        <w:rPr>
          <w:rFonts w:eastAsiaTheme="minorHAnsi"/>
          <w:lang w:val="en-US"/>
        </w:rPr>
        <w:t xml:space="preserve"> containing at least 25% feldspar (AGI 1962). The grains of “arkose” Goren et al. (2004) illustrates in Fig. 5 are merely feldspar grains that may or may not be derived from granite or “related igneous rocks</w:t>
      </w:r>
      <w:r w:rsidR="005D7354">
        <w:rPr>
          <w:rFonts w:eastAsiaTheme="minorHAnsi"/>
          <w:lang w:val="en-US"/>
        </w:rPr>
        <w:t>.</w:t>
      </w:r>
      <w:r w:rsidRPr="003317AE">
        <w:rPr>
          <w:rFonts w:eastAsiaTheme="minorHAnsi"/>
          <w:lang w:val="en-US"/>
        </w:rPr>
        <w:t xml:space="preserve">” There is no arkose in Fig. 5. Also, if there are enough twinned plagioclase grains present, it might be possible to determine what specific kind of igneous rock produced the plagioclase based on the Ca percentage in the crystals, which, in turn, could provide additional provenance information. </w:t>
      </w:r>
    </w:p>
    <w:p w14:paraId="28E0C5C3" w14:textId="77777777" w:rsidR="003317AE" w:rsidRPr="003317AE" w:rsidRDefault="003317AE" w:rsidP="003317AE">
      <w:pPr>
        <w:numPr>
          <w:ilvl w:val="0"/>
          <w:numId w:val="9"/>
        </w:numPr>
        <w:tabs>
          <w:tab w:val="left" w:pos="900"/>
        </w:tabs>
        <w:spacing w:after="0" w:line="240" w:lineRule="auto"/>
        <w:contextualSpacing/>
        <w:rPr>
          <w:rFonts w:eastAsiaTheme="minorHAnsi"/>
          <w:lang w:val="en-US"/>
        </w:rPr>
      </w:pPr>
      <w:r w:rsidRPr="003317AE">
        <w:rPr>
          <w:rFonts w:eastAsiaTheme="minorHAnsi"/>
          <w:lang w:val="en-US"/>
        </w:rPr>
        <w:t>Cohen-Weinberger and Goren (2004) make reference to “geode quartz</w:t>
      </w:r>
      <w:r w:rsidRPr="003317AE">
        <w:rPr>
          <w:rFonts w:eastAsiaTheme="minorHAnsi"/>
          <w:vertAlign w:val="superscript"/>
          <w:lang w:val="en-US"/>
        </w:rPr>
        <w:footnoteReference w:id="91"/>
      </w:r>
      <w:r w:rsidRPr="003317AE">
        <w:rPr>
          <w:rFonts w:eastAsiaTheme="minorHAnsi"/>
          <w:lang w:val="en-US"/>
        </w:rPr>
        <w:t xml:space="preserve">.” There is no such mineral. The quartz in a geode is chert usually presenting as agate. There is no way to petrographically determine that a chert fragment originated specifically from a geode since agate from a geode will look like any other chert. </w:t>
      </w:r>
    </w:p>
    <w:p w14:paraId="520F967E" w14:textId="77777777" w:rsidR="003317AE" w:rsidRPr="003317AE" w:rsidRDefault="003317AE" w:rsidP="003317AE">
      <w:pPr>
        <w:numPr>
          <w:ilvl w:val="0"/>
          <w:numId w:val="9"/>
        </w:numPr>
        <w:tabs>
          <w:tab w:val="left" w:pos="900"/>
        </w:tabs>
        <w:spacing w:after="0" w:line="240" w:lineRule="auto"/>
        <w:contextualSpacing/>
        <w:rPr>
          <w:rFonts w:eastAsiaTheme="minorHAnsi"/>
          <w:lang w:val="en-US"/>
        </w:rPr>
      </w:pPr>
      <w:r w:rsidRPr="003317AE">
        <w:rPr>
          <w:rFonts w:eastAsiaTheme="minorHAnsi"/>
          <w:lang w:val="en-US"/>
        </w:rPr>
        <w:t>Cohen-Weinberger and Goren (2004) make reference to “igneous mafic minerals</w:t>
      </w:r>
      <w:r w:rsidRPr="003317AE">
        <w:rPr>
          <w:rFonts w:eastAsiaTheme="minorHAnsi"/>
          <w:vertAlign w:val="superscript"/>
          <w:lang w:val="en-US"/>
        </w:rPr>
        <w:footnoteReference w:id="92"/>
      </w:r>
      <w:r w:rsidRPr="003317AE">
        <w:rPr>
          <w:rFonts w:eastAsiaTheme="minorHAnsi"/>
          <w:lang w:val="en-US"/>
        </w:rPr>
        <w:t>” and then name serpentine as one of these minerals. Serpentine is not an igneous mineral. It is a metamorphic mineral that forms when certain ultramafic rocks (often found in ophiolite sequences) are metamorphosed under water saturated conditions.</w:t>
      </w:r>
    </w:p>
    <w:p w14:paraId="3B0D32A5" w14:textId="77777777" w:rsidR="003317AE" w:rsidRPr="003317AE" w:rsidRDefault="003317AE" w:rsidP="003317AE">
      <w:pPr>
        <w:numPr>
          <w:ilvl w:val="0"/>
          <w:numId w:val="9"/>
        </w:numPr>
        <w:tabs>
          <w:tab w:val="left" w:pos="900"/>
        </w:tabs>
        <w:spacing w:after="0" w:line="240" w:lineRule="auto"/>
        <w:contextualSpacing/>
        <w:rPr>
          <w:rFonts w:eastAsiaTheme="minorHAnsi"/>
          <w:lang w:val="en-US"/>
        </w:rPr>
      </w:pPr>
      <w:r w:rsidRPr="003317AE">
        <w:rPr>
          <w:rFonts w:eastAsiaTheme="minorHAnsi"/>
          <w:lang w:val="en-US"/>
        </w:rPr>
        <w:t xml:space="preserve">Cohen-Weinberger and Goren (2004) make reference to “igneous mafic minerals” and then name pyroxene as one of these minerals. There are two main groups of pyroxene, orthopyroxene and clinopyroxene, and many </w:t>
      </w:r>
      <w:r w:rsidRPr="003317AE">
        <w:rPr>
          <w:rFonts w:eastAsiaTheme="minorHAnsi"/>
          <w:lang w:val="en-US"/>
        </w:rPr>
        <w:lastRenderedPageBreak/>
        <w:t xml:space="preserve">different minerals in each group. The specific species of pyroxene can be very diagnostic of provenance. The authors do not discuss this or identify the specific pyroxene present. </w:t>
      </w:r>
    </w:p>
    <w:p w14:paraId="045CB9BD" w14:textId="77777777" w:rsidR="003317AE" w:rsidRPr="003317AE" w:rsidRDefault="003317AE" w:rsidP="003317AE">
      <w:pPr>
        <w:numPr>
          <w:ilvl w:val="0"/>
          <w:numId w:val="9"/>
        </w:numPr>
        <w:tabs>
          <w:tab w:val="left" w:pos="900"/>
        </w:tabs>
        <w:spacing w:after="0" w:line="240" w:lineRule="auto"/>
        <w:contextualSpacing/>
        <w:rPr>
          <w:rFonts w:eastAsiaTheme="minorHAnsi"/>
          <w:lang w:val="en-US"/>
        </w:rPr>
      </w:pPr>
      <w:r w:rsidRPr="003317AE">
        <w:rPr>
          <w:rFonts w:eastAsiaTheme="minorHAnsi"/>
          <w:lang w:val="en-US"/>
        </w:rPr>
        <w:t>Cohen-Weinberger and Goren (2004) state: “Tuff, dykes and basalts occur in the slopes of Mount Hermon, where Lower Cretaceous volcanics expose nearby Jurassic limestone formations containing fossil reefs.</w:t>
      </w:r>
      <w:r w:rsidRPr="003317AE">
        <w:rPr>
          <w:rFonts w:eastAsiaTheme="minorHAnsi"/>
          <w:vertAlign w:val="superscript"/>
          <w:lang w:val="en-US"/>
        </w:rPr>
        <w:footnoteReference w:id="93"/>
      </w:r>
      <w:r w:rsidRPr="003317AE">
        <w:rPr>
          <w:rFonts w:eastAsiaTheme="minorHAnsi"/>
          <w:lang w:val="en-US"/>
        </w:rPr>
        <w:t xml:space="preserve">” This sentence demonstrates exceptionally well that the authors are repeating words that they have read in geologic reports without having the slightest understanding of what they these words actually mean. In the referenced sentence, tuff, dyke and basalt are used as if they are three distinct characteristics that in some way help to ascribe provenance. A tuff is a rock made from consolidated volcanic ash. In this case, it is probably a basaltic ash. A dyke is a volcanic rock that has a specific geometric shape and a specific 3D relationship to the other rocks in the field. Again, in this case, it is probably a basaltic dyke, but in other geologic environments dykes are made of other rock types. The sentence then goes on to state that somehow the Lower Cretaceous volcanics cause the Jurassic limestones to be exposed. This statement is an impossibility. Basalts are lavas. They flow out and cover things. Since the basalts are younger than the limestones the basalts would have flowed over and covered the limestones. To suggest otherwise is a violation of Steno’s Law. If the limestones are exposed, it is because some other geologic process removed the basalt to expose the limestone. </w:t>
      </w:r>
    </w:p>
    <w:p w14:paraId="744E3A4F" w14:textId="77777777" w:rsidR="003317AE" w:rsidRPr="003317AE" w:rsidRDefault="003317AE" w:rsidP="003317AE">
      <w:pPr>
        <w:numPr>
          <w:ilvl w:val="0"/>
          <w:numId w:val="9"/>
        </w:numPr>
        <w:tabs>
          <w:tab w:val="left" w:pos="900"/>
        </w:tabs>
        <w:spacing w:after="0" w:line="240" w:lineRule="auto"/>
        <w:contextualSpacing/>
        <w:rPr>
          <w:rFonts w:eastAsiaTheme="minorHAnsi"/>
          <w:lang w:val="en-US"/>
        </w:rPr>
      </w:pPr>
      <w:r w:rsidRPr="003317AE">
        <w:rPr>
          <w:rFonts w:eastAsiaTheme="minorHAnsi"/>
          <w:lang w:val="en-US"/>
        </w:rPr>
        <w:t>Cohen-Weinberger and Goren (2004) describe calcite inclusions as: “…dense, idiomorphic, silty calcite crystals which tend to be spherical</w:t>
      </w:r>
      <w:r w:rsidRPr="003317AE">
        <w:rPr>
          <w:rFonts w:eastAsiaTheme="minorHAnsi"/>
          <w:vertAlign w:val="superscript"/>
          <w:lang w:val="en-US"/>
        </w:rPr>
        <w:footnoteReference w:id="94"/>
      </w:r>
      <w:r w:rsidRPr="003317AE">
        <w:rPr>
          <w:rFonts w:eastAsiaTheme="minorHAnsi"/>
          <w:lang w:val="en-US"/>
        </w:rPr>
        <w:t xml:space="preserve">…” This string of words is self-contradictory on several levels. If the grains are rounded, there is no way to know if they were once idiomorphic. It is not clear what the authors mean by “silty.” Presumably there are silt inclusions in the calcite grains which means that their crystal growth was interrupted by the preexisting silt grains and therefore the calcite grains could be regarded as xenomorphic (another word which is used </w:t>
      </w:r>
      <w:r w:rsidRPr="003317AE">
        <w:rPr>
          <w:rFonts w:eastAsiaTheme="minorHAnsi"/>
          <w:lang w:val="en-US"/>
        </w:rPr>
        <w:lastRenderedPageBreak/>
        <w:t xml:space="preserve">freely in this manuscript). ALSO, Goren et al. (2004) make frequent reference to “idiomorphic” dolomite grains. Calcite and dolomite are relatively soft minerals (mohs hardness = 3) and have perfect rhombohedral cleavage. In all likelihood the frequent references to idiomorphic carbonate grains are really references to mechanically crushed cleavage flakes. Genetically, these are very different from idiomorphic crystals. </w:t>
      </w:r>
    </w:p>
    <w:p w14:paraId="781FE0CE" w14:textId="6BA5110F" w:rsidR="003317AE" w:rsidRPr="003317AE" w:rsidRDefault="003317AE" w:rsidP="003317AE">
      <w:pPr>
        <w:numPr>
          <w:ilvl w:val="0"/>
          <w:numId w:val="9"/>
        </w:numPr>
        <w:tabs>
          <w:tab w:val="left" w:pos="900"/>
        </w:tabs>
        <w:spacing w:after="0" w:line="240" w:lineRule="auto"/>
        <w:contextualSpacing/>
        <w:rPr>
          <w:rFonts w:eastAsiaTheme="minorHAnsi"/>
          <w:lang w:val="en-US"/>
        </w:rPr>
      </w:pPr>
      <w:r w:rsidRPr="003317AE">
        <w:rPr>
          <w:rFonts w:eastAsiaTheme="minorHAnsi"/>
          <w:lang w:val="en-US"/>
        </w:rPr>
        <w:t>Bentonic</w:t>
      </w:r>
      <w:r w:rsidRPr="003317AE">
        <w:rPr>
          <w:rFonts w:eastAsiaTheme="minorHAnsi"/>
          <w:vertAlign w:val="superscript"/>
          <w:lang w:val="en-US"/>
        </w:rPr>
        <w:footnoteReference w:id="95"/>
      </w:r>
      <w:r w:rsidRPr="003317AE">
        <w:rPr>
          <w:rFonts w:eastAsiaTheme="minorHAnsi"/>
          <w:lang w:val="en-US"/>
        </w:rPr>
        <w:t xml:space="preserve"> is the name of a rock band (of the musical kind). I believe the authors meant to say bentonite </w:t>
      </w:r>
      <w:r w:rsidR="009F0896">
        <w:rPr>
          <w:rFonts w:eastAsiaTheme="minorHAnsi"/>
          <w:lang w:val="en-US"/>
        </w:rPr>
        <w:t>or bentonitic</w:t>
      </w:r>
      <w:r w:rsidRPr="003317AE">
        <w:rPr>
          <w:rFonts w:eastAsiaTheme="minorHAnsi"/>
          <w:lang w:val="en-US"/>
        </w:rPr>
        <w:t>.</w:t>
      </w:r>
      <w:r w:rsidR="009F0896">
        <w:rPr>
          <w:rFonts w:eastAsiaTheme="minorHAnsi"/>
          <w:lang w:val="en-US"/>
        </w:rPr>
        <w:t xml:space="preserve">  The two instances may be typographical errors.</w:t>
      </w:r>
      <w:r w:rsidRPr="003317AE">
        <w:rPr>
          <w:rFonts w:eastAsiaTheme="minorHAnsi"/>
          <w:lang w:val="en-US"/>
        </w:rPr>
        <w:t xml:space="preserve"> </w:t>
      </w:r>
    </w:p>
    <w:p w14:paraId="7A0045A1" w14:textId="77777777" w:rsidR="003317AE" w:rsidRPr="003317AE" w:rsidRDefault="003317AE" w:rsidP="003317AE">
      <w:pPr>
        <w:numPr>
          <w:ilvl w:val="0"/>
          <w:numId w:val="9"/>
        </w:numPr>
        <w:tabs>
          <w:tab w:val="left" w:pos="900"/>
        </w:tabs>
        <w:spacing w:after="0" w:line="240" w:lineRule="auto"/>
        <w:contextualSpacing/>
        <w:rPr>
          <w:rFonts w:eastAsiaTheme="minorHAnsi"/>
          <w:lang w:val="en-US"/>
        </w:rPr>
      </w:pPr>
      <w:r w:rsidRPr="003317AE">
        <w:rPr>
          <w:rFonts w:eastAsiaTheme="minorHAnsi"/>
          <w:lang w:val="en-US"/>
        </w:rPr>
        <w:t>In all of the manuscripts reviewed, the authors focus excessively on the geologic age of the source lithology creating the impression that they regard the age as somehow provenance diagnostic, which it is not.</w:t>
      </w:r>
    </w:p>
    <w:p w14:paraId="777C28FF" w14:textId="77777777" w:rsidR="003317AE" w:rsidRPr="003317AE" w:rsidRDefault="003317AE" w:rsidP="003317AE">
      <w:pPr>
        <w:tabs>
          <w:tab w:val="left" w:pos="900"/>
        </w:tabs>
        <w:spacing w:after="0" w:line="240" w:lineRule="auto"/>
        <w:rPr>
          <w:rFonts w:eastAsiaTheme="minorHAnsi"/>
          <w:lang w:val="en-US"/>
        </w:rPr>
      </w:pPr>
    </w:p>
    <w:p w14:paraId="713DB40C" w14:textId="77777777" w:rsidR="003317AE" w:rsidRPr="003317AE" w:rsidRDefault="003317AE" w:rsidP="003317AE">
      <w:pPr>
        <w:tabs>
          <w:tab w:val="left" w:pos="900"/>
        </w:tabs>
        <w:spacing w:after="0" w:line="240" w:lineRule="auto"/>
        <w:rPr>
          <w:rFonts w:eastAsiaTheme="minorHAnsi"/>
          <w:lang w:val="en-US"/>
        </w:rPr>
      </w:pPr>
      <w:r w:rsidRPr="003317AE">
        <w:rPr>
          <w:rFonts w:eastAsiaTheme="minorHAnsi"/>
          <w:lang w:val="en-US"/>
        </w:rPr>
        <w:t>The above examples are just several of the dozens of such examples of misused or misunderstood geologic terminology throughout the various Goren manuscripts. The occasional misuse of a geologic term by a non-geologist can be ignored, but to be confronted by paragraph after paragraph, manuscript after manuscript strongly suggests that the authors are using the terminology in an attempt to sound knowledgeable when, in fact, they have no understanding of the geologic processed and characteristics they are describing. A list of minerals along with the mention of nearby rock types that could be the source of these minerals is more than sufficient to discuss likely provenance. Perhaps the most extreme example of this tendency is the one and a half pages allotted to describing the Troodos ophiolite and associated rocks</w:t>
      </w:r>
      <w:r w:rsidRPr="003317AE">
        <w:rPr>
          <w:rFonts w:eastAsiaTheme="minorHAnsi"/>
          <w:vertAlign w:val="superscript"/>
          <w:lang w:val="en-US"/>
        </w:rPr>
        <w:footnoteReference w:id="96"/>
      </w:r>
      <w:r w:rsidRPr="003317AE">
        <w:rPr>
          <w:rFonts w:eastAsiaTheme="minorHAnsi"/>
          <w:lang w:val="en-US"/>
        </w:rPr>
        <w:t>. Goren et al. (2004) provide an exhaustive list of rock types—andesitic basalt, quartz andesitic basalt, quartz microdolerite, olivine basalt, quartz microgabbro, mugearite, dolerite sheet dykes, unspecified detrital minerals (whatever those might actually be), umberiferous olistoliths, reefal limestone, and on and on and on. This entire listing of geologic terminology is meaningless. The authors need to tell us what minerals are present and whether the surrounding geology is likely to produce those minerals. Do the authors even know what minerals make a mugearite?</w:t>
      </w:r>
    </w:p>
    <w:p w14:paraId="67312279" w14:textId="77777777" w:rsidR="003317AE" w:rsidRPr="003317AE" w:rsidRDefault="003317AE" w:rsidP="003317AE">
      <w:pPr>
        <w:tabs>
          <w:tab w:val="left" w:pos="900"/>
        </w:tabs>
        <w:spacing w:after="0" w:line="240" w:lineRule="auto"/>
        <w:rPr>
          <w:rFonts w:eastAsiaTheme="minorHAnsi"/>
          <w:highlight w:val="yellow"/>
          <w:lang w:val="en-US"/>
        </w:rPr>
      </w:pPr>
    </w:p>
    <w:p w14:paraId="63046E5F" w14:textId="6EC02AB6" w:rsidR="003317AE" w:rsidRPr="003317AE" w:rsidRDefault="003317AE" w:rsidP="003317AE">
      <w:pPr>
        <w:tabs>
          <w:tab w:val="left" w:pos="900"/>
        </w:tabs>
        <w:spacing w:after="0" w:line="240" w:lineRule="auto"/>
        <w:rPr>
          <w:rFonts w:eastAsiaTheme="minorHAnsi"/>
          <w:lang w:val="en-US"/>
        </w:rPr>
      </w:pPr>
      <w:r w:rsidRPr="003317AE">
        <w:rPr>
          <w:rFonts w:eastAsiaTheme="minorHAnsi"/>
          <w:lang w:val="en-US"/>
        </w:rPr>
        <w:lastRenderedPageBreak/>
        <w:t>The discussion of clay geology by Goren et al. (2004)</w:t>
      </w:r>
      <w:r w:rsidRPr="003317AE">
        <w:rPr>
          <w:rFonts w:eastAsiaTheme="minorHAnsi"/>
          <w:vertAlign w:val="superscript"/>
          <w:lang w:val="en-US"/>
        </w:rPr>
        <w:footnoteReference w:id="97"/>
      </w:r>
      <w:r w:rsidRPr="003317AE">
        <w:rPr>
          <w:rFonts w:eastAsiaTheme="minorHAnsi"/>
          <w:lang w:val="en-US"/>
        </w:rPr>
        <w:t xml:space="preserve"> supports the notion that these authors </w:t>
      </w:r>
      <w:r w:rsidR="00B5207F">
        <w:rPr>
          <w:rFonts w:eastAsiaTheme="minorHAnsi"/>
          <w:lang w:val="en-US"/>
        </w:rPr>
        <w:t xml:space="preserve">probably </w:t>
      </w:r>
      <w:r w:rsidRPr="003317AE">
        <w:rPr>
          <w:rFonts w:eastAsiaTheme="minorHAnsi"/>
          <w:lang w:val="en-US"/>
        </w:rPr>
        <w:t>do not understand the geology of clay minerals or the depositional systems in which they are found. The discussion of clay as a grain size</w:t>
      </w:r>
      <w:r w:rsidRPr="003317AE">
        <w:rPr>
          <w:rFonts w:eastAsiaTheme="minorHAnsi"/>
          <w:vertAlign w:val="superscript"/>
          <w:lang w:val="en-US"/>
        </w:rPr>
        <w:footnoteReference w:id="98"/>
      </w:r>
      <w:r w:rsidRPr="003317AE">
        <w:rPr>
          <w:rFonts w:eastAsiaTheme="minorHAnsi"/>
          <w:lang w:val="en-US"/>
        </w:rPr>
        <w:t xml:space="preserve"> is archaeologically irrelevant. They discuss clay mineralogy, but they are not clear about the specifics, suggesting that clays are </w:t>
      </w:r>
      <w:r w:rsidRPr="003317AE">
        <w:rPr>
          <w:rFonts w:eastAsiaTheme="minorHAnsi"/>
          <w:i/>
          <w:lang w:val="en-US"/>
        </w:rPr>
        <w:t>usually</w:t>
      </w:r>
      <w:r w:rsidRPr="003317AE">
        <w:rPr>
          <w:rFonts w:eastAsiaTheme="minorHAnsi"/>
          <w:i/>
          <w:vertAlign w:val="superscript"/>
          <w:lang w:val="en-US"/>
        </w:rPr>
        <w:footnoteReference w:id="99"/>
      </w:r>
      <w:r w:rsidRPr="003317AE">
        <w:rPr>
          <w:rFonts w:eastAsiaTheme="minorHAnsi"/>
          <w:lang w:val="en-US"/>
        </w:rPr>
        <w:t xml:space="preserve"> phyllosilicates. Clays are </w:t>
      </w:r>
      <w:r w:rsidRPr="003317AE">
        <w:rPr>
          <w:rFonts w:eastAsiaTheme="minorHAnsi"/>
          <w:i/>
          <w:lang w:val="en-US"/>
        </w:rPr>
        <w:t>alway</w:t>
      </w:r>
      <w:r w:rsidRPr="003317AE">
        <w:rPr>
          <w:rFonts w:eastAsiaTheme="minorHAnsi"/>
          <w:lang w:val="en-US"/>
        </w:rPr>
        <w:t xml:space="preserve">s phyllosilicates (Kerr 1977). They create artificial categories that no geologist would recognize. They state that the clay in </w:t>
      </w:r>
      <w:r w:rsidRPr="003317AE">
        <w:rPr>
          <w:rFonts w:eastAsiaTheme="minorHAnsi"/>
          <w:i/>
          <w:lang w:val="en-US"/>
        </w:rPr>
        <w:t>in situ</w:t>
      </w:r>
      <w:r w:rsidRPr="003317AE">
        <w:rPr>
          <w:rFonts w:eastAsiaTheme="minorHAnsi"/>
          <w:lang w:val="en-US"/>
        </w:rPr>
        <w:t xml:space="preserve"> clay deposits forms in a different way from the clay in sedimentary deposits. The authors state: “The first may develop from the chemical alteration of other minerals (such as feldspars) and produce beds of pure clay that may be used for stoneware or porcelain production. The latter are deposits originating from weathering processes of rocks</w:t>
      </w:r>
      <w:r w:rsidRPr="003317AE">
        <w:rPr>
          <w:rFonts w:eastAsiaTheme="minorHAnsi"/>
          <w:vertAlign w:val="superscript"/>
          <w:lang w:val="en-US"/>
        </w:rPr>
        <w:footnoteReference w:id="100"/>
      </w:r>
      <w:r w:rsidRPr="003317AE">
        <w:rPr>
          <w:rFonts w:eastAsiaTheme="minorHAnsi"/>
          <w:lang w:val="en-US"/>
        </w:rPr>
        <w:t xml:space="preserve">…” All clays are weathering products, whether formed by hydrothermal processes or at surface temperatures and pressure (Velde 1995; Foley 1999). High purity kaolinite clays used for porcelain are nothing more than clays that have not yet been eroded and transported away from their place of formation. They are also clays that form from a very specific rock type, one that is extremely rich in feldspar minerals. </w:t>
      </w:r>
    </w:p>
    <w:p w14:paraId="3C0B1A5D" w14:textId="77777777" w:rsidR="003317AE" w:rsidRPr="003317AE" w:rsidRDefault="003317AE" w:rsidP="003317AE">
      <w:pPr>
        <w:tabs>
          <w:tab w:val="left" w:pos="900"/>
        </w:tabs>
        <w:spacing w:after="0" w:line="240" w:lineRule="auto"/>
        <w:rPr>
          <w:rFonts w:eastAsiaTheme="minorHAnsi"/>
          <w:lang w:val="en-US"/>
        </w:rPr>
      </w:pPr>
    </w:p>
    <w:p w14:paraId="10FF3230" w14:textId="77777777" w:rsidR="003317AE" w:rsidRPr="003317AE" w:rsidRDefault="003317AE" w:rsidP="003317AE">
      <w:pPr>
        <w:tabs>
          <w:tab w:val="left" w:pos="900"/>
        </w:tabs>
        <w:spacing w:after="0" w:line="240" w:lineRule="auto"/>
        <w:contextualSpacing/>
        <w:rPr>
          <w:rFonts w:eastAsiaTheme="minorHAnsi"/>
          <w:lang w:val="en-US"/>
        </w:rPr>
      </w:pPr>
      <w:r w:rsidRPr="003317AE">
        <w:rPr>
          <w:rFonts w:eastAsiaTheme="minorHAnsi"/>
          <w:lang w:val="en-US"/>
        </w:rPr>
        <w:t>Cohen Weinberger and Goren (2004) state that Group J sherds contain abundant inclusions of quartz grains which “indicates an aeolian contribution from the coast.</w:t>
      </w:r>
      <w:r w:rsidRPr="003317AE">
        <w:rPr>
          <w:rFonts w:eastAsiaTheme="minorHAnsi"/>
          <w:vertAlign w:val="superscript"/>
          <w:lang w:val="en-US"/>
        </w:rPr>
        <w:footnoteReference w:id="101"/>
      </w:r>
      <w:r w:rsidRPr="003317AE">
        <w:rPr>
          <w:rFonts w:eastAsiaTheme="minorHAnsi"/>
          <w:lang w:val="en-US"/>
        </w:rPr>
        <w:t xml:space="preserve">” They provide no documentation to support this claim. Aeolian quartz has a number of distinctive characteristics— very narrow range of grainsizes (usually very fine and fine) with the grains being generally well rounded, pitted and frosted. None of these characteristics are mentioned in their description. The authors provide no basis at all for assigning Group J to the Shephelah area other than it is near the coast. Assuming that the quartz is actually a dune sand, it more likely originates from aeolian desert dunes, which cover a significant part of the Shephelah study area. </w:t>
      </w:r>
    </w:p>
    <w:p w14:paraId="29350B18" w14:textId="77777777" w:rsidR="003317AE" w:rsidRPr="003317AE" w:rsidRDefault="003317AE" w:rsidP="003317AE">
      <w:pPr>
        <w:tabs>
          <w:tab w:val="left" w:pos="900"/>
        </w:tabs>
        <w:spacing w:after="0" w:line="240" w:lineRule="auto"/>
        <w:contextualSpacing/>
        <w:rPr>
          <w:rFonts w:eastAsiaTheme="minorHAnsi"/>
          <w:lang w:val="en-US"/>
        </w:rPr>
      </w:pPr>
    </w:p>
    <w:p w14:paraId="72F75F46" w14:textId="77777777" w:rsidR="003317AE" w:rsidRPr="003317AE" w:rsidRDefault="003317AE" w:rsidP="003317AE">
      <w:pPr>
        <w:tabs>
          <w:tab w:val="left" w:pos="900"/>
        </w:tabs>
        <w:spacing w:after="0" w:line="240" w:lineRule="auto"/>
        <w:rPr>
          <w:rFonts w:eastAsiaTheme="minorHAnsi"/>
          <w:lang w:val="en-US"/>
        </w:rPr>
      </w:pPr>
    </w:p>
    <w:p w14:paraId="170EEC2E" w14:textId="77777777" w:rsidR="003317AE" w:rsidRPr="003317AE" w:rsidRDefault="003317AE" w:rsidP="003317AE">
      <w:pPr>
        <w:tabs>
          <w:tab w:val="left" w:pos="900"/>
        </w:tabs>
        <w:spacing w:after="0" w:line="240" w:lineRule="auto"/>
        <w:rPr>
          <w:rFonts w:eastAsiaTheme="minorHAnsi"/>
          <w:b/>
          <w:lang w:val="en-US"/>
        </w:rPr>
      </w:pPr>
      <w:bookmarkStart w:id="85" w:name="b"/>
      <w:bookmarkEnd w:id="85"/>
      <w:r w:rsidRPr="003317AE">
        <w:rPr>
          <w:rFonts w:eastAsiaTheme="minorHAnsi"/>
          <w:b/>
          <w:lang w:val="en-US"/>
        </w:rPr>
        <w:lastRenderedPageBreak/>
        <w:t xml:space="preserve">Statistical Analysis </w:t>
      </w:r>
    </w:p>
    <w:p w14:paraId="32875BFB" w14:textId="77777777" w:rsidR="003317AE" w:rsidRPr="003317AE" w:rsidRDefault="003317AE" w:rsidP="003317AE">
      <w:pPr>
        <w:tabs>
          <w:tab w:val="left" w:pos="900"/>
        </w:tabs>
        <w:spacing w:after="0" w:line="240" w:lineRule="auto"/>
        <w:rPr>
          <w:rFonts w:eastAsiaTheme="minorHAnsi"/>
          <w:b/>
          <w:lang w:val="en-US"/>
        </w:rPr>
      </w:pPr>
    </w:p>
    <w:p w14:paraId="0DE079AA" w14:textId="77777777" w:rsidR="003317AE" w:rsidRPr="003317AE" w:rsidRDefault="003317AE" w:rsidP="003317AE">
      <w:pPr>
        <w:tabs>
          <w:tab w:val="left" w:pos="900"/>
        </w:tabs>
        <w:spacing w:after="0" w:line="240" w:lineRule="auto"/>
        <w:rPr>
          <w:rFonts w:eastAsiaTheme="minorHAnsi"/>
          <w:lang w:val="en-US"/>
        </w:rPr>
      </w:pPr>
      <w:r w:rsidRPr="003317AE">
        <w:rPr>
          <w:rFonts w:eastAsiaTheme="minorHAnsi"/>
          <w:lang w:val="en-US"/>
        </w:rPr>
        <w:t xml:space="preserve">Goren et al. (2004) indicate that they use the STATISTICA software as their primary statistical tool, but they do not tell the reader how they analyze their data. The statistical methodology section is mostly devoted to incorrectly describing geochemical concepts (as discussed above). They have filled the statistics section with a lot of statistical terms (scattergrams, bivariate plots, multivariate statistics, principle component analysis, cluster analysis, lognormal distribution, quasi-standardization, hyperspherical space, etc.), but there is no discussion of how the analyses were run or what data were used. Their methodology section leaves too many questions unanswered: </w:t>
      </w:r>
    </w:p>
    <w:p w14:paraId="77A81B30" w14:textId="77777777" w:rsidR="003317AE" w:rsidRPr="003317AE" w:rsidRDefault="003317AE" w:rsidP="003317AE">
      <w:pPr>
        <w:numPr>
          <w:ilvl w:val="0"/>
          <w:numId w:val="16"/>
        </w:numPr>
        <w:tabs>
          <w:tab w:val="left" w:pos="900"/>
        </w:tabs>
        <w:spacing w:after="0" w:line="240" w:lineRule="auto"/>
        <w:contextualSpacing/>
        <w:rPr>
          <w:rFonts w:eastAsiaTheme="minorHAnsi"/>
          <w:lang w:val="en-US"/>
        </w:rPr>
      </w:pPr>
      <w:r w:rsidRPr="003317AE">
        <w:rPr>
          <w:rFonts w:eastAsiaTheme="minorHAnsi"/>
          <w:lang w:val="en-US"/>
        </w:rPr>
        <w:t xml:space="preserve">Which data are being input for the cluster and principal components analysis? Is it just the (unreliable) geochemical data or are the qualitative petrographic data also included as observed characteristics? </w:t>
      </w:r>
    </w:p>
    <w:p w14:paraId="0727F5A1" w14:textId="77777777" w:rsidR="003317AE" w:rsidRPr="003317AE" w:rsidRDefault="003317AE" w:rsidP="003317AE">
      <w:pPr>
        <w:numPr>
          <w:ilvl w:val="0"/>
          <w:numId w:val="16"/>
        </w:numPr>
        <w:tabs>
          <w:tab w:val="left" w:pos="900"/>
        </w:tabs>
        <w:spacing w:after="0" w:line="240" w:lineRule="auto"/>
        <w:contextualSpacing/>
        <w:rPr>
          <w:rFonts w:eastAsiaTheme="minorHAnsi"/>
          <w:lang w:val="en-US"/>
        </w:rPr>
      </w:pPr>
      <w:r w:rsidRPr="003317AE">
        <w:rPr>
          <w:rFonts w:eastAsiaTheme="minorHAnsi"/>
          <w:lang w:val="en-US"/>
        </w:rPr>
        <w:t xml:space="preserve">When a statistical analysis is run, which tablets or pottery are included in the run?—all samples in the study or just selected subsets? </w:t>
      </w:r>
    </w:p>
    <w:p w14:paraId="2306D843" w14:textId="77777777" w:rsidR="003317AE" w:rsidRPr="003317AE" w:rsidRDefault="003317AE" w:rsidP="003317AE">
      <w:pPr>
        <w:numPr>
          <w:ilvl w:val="0"/>
          <w:numId w:val="16"/>
        </w:numPr>
        <w:tabs>
          <w:tab w:val="left" w:pos="900"/>
        </w:tabs>
        <w:spacing w:after="0" w:line="240" w:lineRule="auto"/>
        <w:contextualSpacing/>
        <w:rPr>
          <w:rFonts w:eastAsiaTheme="minorHAnsi"/>
          <w:lang w:val="en-US"/>
        </w:rPr>
      </w:pPr>
      <w:r w:rsidRPr="003317AE">
        <w:rPr>
          <w:rFonts w:eastAsiaTheme="minorHAnsi"/>
          <w:lang w:val="en-US"/>
        </w:rPr>
        <w:t xml:space="preserve">Are the geochemical results from the local materials included with the petrographic analyses? </w:t>
      </w:r>
    </w:p>
    <w:p w14:paraId="58A353B6" w14:textId="77777777" w:rsidR="003317AE" w:rsidRPr="003317AE" w:rsidRDefault="003317AE" w:rsidP="003317AE">
      <w:pPr>
        <w:numPr>
          <w:ilvl w:val="0"/>
          <w:numId w:val="16"/>
        </w:numPr>
        <w:tabs>
          <w:tab w:val="left" w:pos="900"/>
        </w:tabs>
        <w:spacing w:after="0" w:line="240" w:lineRule="auto"/>
        <w:contextualSpacing/>
        <w:rPr>
          <w:rFonts w:eastAsiaTheme="minorHAnsi"/>
          <w:lang w:val="en-US"/>
        </w:rPr>
      </w:pPr>
      <w:r w:rsidRPr="003317AE">
        <w:rPr>
          <w:rFonts w:eastAsiaTheme="minorHAnsi"/>
          <w:lang w:val="en-US"/>
        </w:rPr>
        <w:t xml:space="preserve">Why do we never see the outcome plots of the PCA or the cluster analyses? </w:t>
      </w:r>
    </w:p>
    <w:p w14:paraId="0CCF5100" w14:textId="77777777" w:rsidR="003317AE" w:rsidRPr="003317AE" w:rsidRDefault="003317AE" w:rsidP="003317AE">
      <w:pPr>
        <w:tabs>
          <w:tab w:val="left" w:pos="900"/>
        </w:tabs>
        <w:spacing w:after="0" w:line="240" w:lineRule="auto"/>
        <w:rPr>
          <w:rFonts w:eastAsiaTheme="minorHAnsi"/>
          <w:lang w:val="en-US"/>
        </w:rPr>
      </w:pPr>
      <w:r w:rsidRPr="003317AE">
        <w:rPr>
          <w:rFonts w:eastAsiaTheme="minorHAnsi"/>
          <w:lang w:val="en-US"/>
        </w:rPr>
        <w:t xml:space="preserve">Ultimately we are being asked to simply accept that Goren and his coworkers did a thorough analysis without them being required to show us the actual clusters/groupings. The disjointed and meandering discussion of statistical methodology and the bandying of statistical terminology without any substantive discussion of the analytical design gives the reader the impression that the Goren team does not really understand the nature of the analyses they are performing. </w:t>
      </w:r>
    </w:p>
    <w:p w14:paraId="0863255A" w14:textId="77777777" w:rsidR="003317AE" w:rsidRPr="003317AE" w:rsidRDefault="003317AE" w:rsidP="003317AE">
      <w:pPr>
        <w:tabs>
          <w:tab w:val="left" w:pos="900"/>
        </w:tabs>
        <w:spacing w:after="0" w:line="240" w:lineRule="auto"/>
        <w:rPr>
          <w:rFonts w:eastAsiaTheme="minorHAnsi"/>
          <w:lang w:val="en-US"/>
        </w:rPr>
      </w:pPr>
    </w:p>
    <w:p w14:paraId="5E9C9196" w14:textId="77777777" w:rsidR="003317AE" w:rsidRPr="003317AE" w:rsidRDefault="003317AE" w:rsidP="003317AE">
      <w:pPr>
        <w:tabs>
          <w:tab w:val="left" w:pos="900"/>
        </w:tabs>
        <w:spacing w:after="0" w:line="240" w:lineRule="auto"/>
        <w:rPr>
          <w:rFonts w:eastAsiaTheme="minorHAnsi"/>
          <w:lang w:val="en-US"/>
        </w:rPr>
      </w:pPr>
      <w:r w:rsidRPr="003317AE">
        <w:rPr>
          <w:rFonts w:eastAsiaTheme="minorHAnsi"/>
          <w:lang w:val="en-US"/>
        </w:rPr>
        <w:t xml:space="preserve">For every group of tablets analysed, Goren et al. (2004) always refer to observed clusters, but they never show the graphical results of the cluster or PCA analyses. Consequently we never know which samples specifically were included in the analysis or which vessel characteristics were used to run the clustering/PCA statistics. In the entire report there is one PCA illustrated (Fig. 3.2) and one cluster analysis (Fig. 3.4). Since the reader does not know how tightly constrained the character input data are, the reader is not in a position to evaluate if the clusters identified by Goren and coworkers are realistic. </w:t>
      </w:r>
    </w:p>
    <w:p w14:paraId="378A018F" w14:textId="77777777" w:rsidR="003317AE" w:rsidRPr="003317AE" w:rsidRDefault="003317AE" w:rsidP="003317AE">
      <w:pPr>
        <w:tabs>
          <w:tab w:val="left" w:pos="900"/>
        </w:tabs>
        <w:spacing w:after="0" w:line="240" w:lineRule="auto"/>
        <w:rPr>
          <w:rFonts w:eastAsiaTheme="minorHAnsi"/>
          <w:lang w:val="en-US"/>
        </w:rPr>
      </w:pPr>
    </w:p>
    <w:p w14:paraId="446A8B2A" w14:textId="77777777" w:rsidR="003317AE" w:rsidRPr="003317AE" w:rsidRDefault="003317AE" w:rsidP="003317AE">
      <w:pPr>
        <w:spacing w:after="200" w:line="240" w:lineRule="auto"/>
        <w:rPr>
          <w:rFonts w:eastAsiaTheme="minorHAnsi"/>
          <w:lang w:val="en-US"/>
        </w:rPr>
      </w:pPr>
      <w:r w:rsidRPr="003317AE">
        <w:rPr>
          <w:rFonts w:eastAsiaTheme="minorHAnsi"/>
          <w:lang w:val="en-US"/>
        </w:rPr>
        <w:t xml:space="preserve">Goren and his coworkers have amassed a significant collection of sherd and raw clay thin sections. According to Porat and Goren (2002) this collection contains more than 8,000 thin sections (as of 2002) and serves as their primary reference database for comparing new study material to the various defined provenance categories (Goren 1996; Porat and Goren 2002; Masters 2018). Though Goren and his coworkers frequently reference this database, they do not provide details about its specific composition. Of particular interest would be the number of raw clay samples included and how many of these clays have associated geochemical data. Given that Goren and his coworkers tend to be overly reliant on geologic maps, there is significant concern that analyses of raw clays are underrepresented in this database. Nor do we know the nature of the types of chemical analyses that were performed. NAA is the accepted standard trace element analysis methodology for archaeological materials. Goren et al (2004) admit that (a) ICP-MS/AES methodologies are not as commonly used in provenance analyses, and (b) that ICP-MS/AES results cannot be directly compared to NAA results. By using this nonstandard methodology, they are reducing the size of the comparative regional chemistry database. </w:t>
      </w:r>
    </w:p>
    <w:p w14:paraId="46699749" w14:textId="77777777" w:rsidR="003317AE" w:rsidRPr="003317AE" w:rsidRDefault="003317AE" w:rsidP="003317AE">
      <w:pPr>
        <w:spacing w:after="200" w:line="240" w:lineRule="auto"/>
        <w:rPr>
          <w:rFonts w:eastAsiaTheme="minorHAnsi"/>
          <w:lang w:val="en-US"/>
        </w:rPr>
      </w:pPr>
      <w:r w:rsidRPr="003317AE">
        <w:rPr>
          <w:rFonts w:eastAsiaTheme="minorHAnsi"/>
          <w:lang w:val="en-US"/>
        </w:rPr>
        <w:t xml:space="preserve">A regional sampling of 8,000 sherd and clay thin sections provides an ideal opportunity to test how well the subjective observational provenance categories compare to objectively determined statistical categories. Given that this thin section database has been petrographically studied, it is surprising that such a statistical analysis has not been performed. A successful analysis should provide objective support to the subjective sherd categories. On the other hand, since rigorous point counting does not seem to be used by Goren and his coworkers, there would seem to be a lack of objective point count data for most, if not all, of this thin section collection. </w:t>
      </w:r>
    </w:p>
    <w:p w14:paraId="5BDD9ADE" w14:textId="77777777" w:rsidR="003317AE" w:rsidRPr="003317AE" w:rsidRDefault="003317AE" w:rsidP="003317AE">
      <w:pPr>
        <w:spacing w:after="200" w:line="240" w:lineRule="auto"/>
        <w:rPr>
          <w:rFonts w:asciiTheme="minorHAnsi" w:eastAsiaTheme="minorHAnsi" w:hAnsiTheme="minorHAnsi" w:cstheme="minorBidi"/>
          <w:szCs w:val="24"/>
          <w:lang w:val="en-US"/>
        </w:rPr>
      </w:pPr>
    </w:p>
    <w:p w14:paraId="5F8B1E33" w14:textId="77777777" w:rsidR="003317AE" w:rsidRPr="003317AE" w:rsidRDefault="003317AE" w:rsidP="003317AE">
      <w:pPr>
        <w:tabs>
          <w:tab w:val="left" w:pos="900"/>
        </w:tabs>
        <w:spacing w:after="0" w:line="240" w:lineRule="auto"/>
        <w:rPr>
          <w:rFonts w:eastAsiaTheme="minorHAnsi"/>
          <w:b/>
          <w:lang w:val="en-US"/>
        </w:rPr>
      </w:pPr>
      <w:r w:rsidRPr="003317AE">
        <w:rPr>
          <w:rFonts w:eastAsiaTheme="minorHAnsi"/>
          <w:b/>
          <w:lang w:val="en-US"/>
        </w:rPr>
        <w:t>Concluding Comments</w:t>
      </w:r>
    </w:p>
    <w:p w14:paraId="7712656A" w14:textId="77777777" w:rsidR="003317AE" w:rsidRPr="003317AE" w:rsidRDefault="003317AE" w:rsidP="003317AE">
      <w:pPr>
        <w:tabs>
          <w:tab w:val="left" w:pos="900"/>
        </w:tabs>
        <w:spacing w:after="0" w:line="240" w:lineRule="auto"/>
        <w:rPr>
          <w:rFonts w:eastAsiaTheme="minorHAnsi"/>
          <w:lang w:val="en-US"/>
        </w:rPr>
      </w:pPr>
    </w:p>
    <w:p w14:paraId="17C97A03" w14:textId="77777777" w:rsidR="003317AE" w:rsidRPr="003317AE" w:rsidRDefault="003317AE" w:rsidP="003317AE">
      <w:pPr>
        <w:tabs>
          <w:tab w:val="left" w:pos="900"/>
        </w:tabs>
        <w:spacing w:after="0" w:line="240" w:lineRule="auto"/>
        <w:rPr>
          <w:rFonts w:eastAsiaTheme="minorHAnsi"/>
          <w:lang w:val="en-US"/>
        </w:rPr>
      </w:pPr>
      <w:r w:rsidRPr="003317AE">
        <w:rPr>
          <w:rFonts w:eastAsiaTheme="minorHAnsi"/>
          <w:lang w:val="en-US"/>
        </w:rPr>
        <w:t xml:space="preserve">There are many significant methodological errors throughout the reviewed reports by Goren and his coworkers. Some of them might be considered relatively minor, but the majority are sufficiently serious that they bring into question the quality of </w:t>
      </w:r>
      <w:r w:rsidRPr="003317AE">
        <w:rPr>
          <w:rFonts w:eastAsiaTheme="minorHAnsi"/>
          <w:lang w:val="en-US"/>
        </w:rPr>
        <w:lastRenderedPageBreak/>
        <w:t>the data being acquired, and therefore the validity of the conclusions drawn. To summarize:</w:t>
      </w:r>
    </w:p>
    <w:p w14:paraId="275A8B26" w14:textId="42AA2601" w:rsidR="003317AE" w:rsidRPr="003317AE" w:rsidRDefault="003317AE" w:rsidP="003317AE">
      <w:pPr>
        <w:numPr>
          <w:ilvl w:val="0"/>
          <w:numId w:val="17"/>
        </w:numPr>
        <w:tabs>
          <w:tab w:val="left" w:pos="900"/>
        </w:tabs>
        <w:spacing w:after="0" w:line="240" w:lineRule="auto"/>
        <w:contextualSpacing/>
        <w:rPr>
          <w:rFonts w:eastAsiaTheme="minorHAnsi"/>
          <w:lang w:val="en-US"/>
        </w:rPr>
      </w:pPr>
      <w:r w:rsidRPr="003317AE">
        <w:rPr>
          <w:rFonts w:eastAsiaTheme="minorHAnsi"/>
          <w:lang w:val="en-US"/>
        </w:rPr>
        <w:t xml:space="preserve">The methodology sections are poorly written. They are confusing, they meander, and they often contain information irrelevant to the methodological discussion. It is often difficult for the reader to understand what Goren and his coworkers are actually doing. Often, their methods have to be inferred based on this reader’s preexisting familiarity with the techniques being discussed. </w:t>
      </w:r>
    </w:p>
    <w:p w14:paraId="57990446" w14:textId="77777777" w:rsidR="003317AE" w:rsidRPr="003317AE" w:rsidRDefault="003317AE" w:rsidP="003317AE">
      <w:pPr>
        <w:numPr>
          <w:ilvl w:val="0"/>
          <w:numId w:val="17"/>
        </w:numPr>
        <w:tabs>
          <w:tab w:val="left" w:pos="900"/>
        </w:tabs>
        <w:spacing w:after="0" w:line="240" w:lineRule="auto"/>
        <w:contextualSpacing/>
        <w:rPr>
          <w:rFonts w:eastAsiaTheme="minorHAnsi"/>
          <w:lang w:val="en-US"/>
        </w:rPr>
      </w:pPr>
      <w:r w:rsidRPr="003317AE">
        <w:rPr>
          <w:rFonts w:eastAsiaTheme="minorHAnsi"/>
          <w:lang w:val="en-US"/>
        </w:rPr>
        <w:t xml:space="preserve">Goren and his coworkers incorrectly use geological, geochemical, chemical and statistical terminology throughout their manuscripts creating the impression that they do not understand the underlying science behind the technologies they are applying to their studies. </w:t>
      </w:r>
    </w:p>
    <w:p w14:paraId="2445D89C" w14:textId="77777777" w:rsidR="003317AE" w:rsidRPr="003317AE" w:rsidRDefault="003317AE" w:rsidP="003317AE">
      <w:pPr>
        <w:numPr>
          <w:ilvl w:val="0"/>
          <w:numId w:val="17"/>
        </w:numPr>
        <w:tabs>
          <w:tab w:val="left" w:pos="900"/>
        </w:tabs>
        <w:spacing w:after="0" w:line="240" w:lineRule="auto"/>
        <w:contextualSpacing/>
        <w:rPr>
          <w:rFonts w:eastAsiaTheme="minorHAnsi"/>
          <w:lang w:val="en-US"/>
        </w:rPr>
      </w:pPr>
      <w:r w:rsidRPr="003317AE">
        <w:rPr>
          <w:rFonts w:eastAsiaTheme="minorHAnsi"/>
          <w:lang w:val="en-US"/>
        </w:rPr>
        <w:t xml:space="preserve">Goren and his coworkers do not understand geologic processes. This causes them to draw unwarranted conclusions from geologic reports. There are innumerable instances that can be cited. </w:t>
      </w:r>
    </w:p>
    <w:p w14:paraId="269390B8" w14:textId="77777777" w:rsidR="003317AE" w:rsidRPr="003317AE" w:rsidRDefault="003317AE" w:rsidP="003317AE">
      <w:pPr>
        <w:numPr>
          <w:ilvl w:val="0"/>
          <w:numId w:val="17"/>
        </w:numPr>
        <w:tabs>
          <w:tab w:val="left" w:pos="900"/>
        </w:tabs>
        <w:spacing w:after="0" w:line="240" w:lineRule="auto"/>
        <w:contextualSpacing/>
        <w:rPr>
          <w:rFonts w:eastAsiaTheme="minorHAnsi"/>
          <w:lang w:val="en-US"/>
        </w:rPr>
      </w:pPr>
      <w:r w:rsidRPr="003317AE">
        <w:rPr>
          <w:rFonts w:eastAsiaTheme="minorHAnsi"/>
          <w:lang w:val="en-US"/>
        </w:rPr>
        <w:t xml:space="preserve">Geologic maps can be very helpful in explaining why particular mineral suites or trace element profiles occur in wasters and modern clay and temper samples collected from potential pottery clay and temper sources near the excavation. Geologic maps, however, are NOT a substitute for collecting and analyzing potential clay and temper sources that the ancient potters may have utilized. Geologic maps do not contain the level of information required to correlate a rock formation to a clay or temper source. Goren and his coworkers do not consider or understand the degree of lateral variability that formations characteristically exhibit both in their mineral and trace element profiles. </w:t>
      </w:r>
    </w:p>
    <w:p w14:paraId="0623B797" w14:textId="77777777" w:rsidR="003317AE" w:rsidRPr="003317AE" w:rsidRDefault="003317AE" w:rsidP="003317AE">
      <w:pPr>
        <w:numPr>
          <w:ilvl w:val="0"/>
          <w:numId w:val="17"/>
        </w:numPr>
        <w:tabs>
          <w:tab w:val="left" w:pos="900"/>
        </w:tabs>
        <w:spacing w:after="0" w:line="240" w:lineRule="auto"/>
        <w:contextualSpacing/>
        <w:rPr>
          <w:rFonts w:eastAsiaTheme="minorHAnsi"/>
          <w:lang w:val="en-US"/>
        </w:rPr>
      </w:pPr>
      <w:r w:rsidRPr="003317AE">
        <w:rPr>
          <w:rFonts w:eastAsiaTheme="minorHAnsi"/>
          <w:lang w:val="en-US"/>
        </w:rPr>
        <w:t>After decades of testing, Standard Operating Procedures (SOP) are well established to guide sample collection from the materials to be studied by the analytical technologies being used by Goren and his coworkers. Many of these SOPs are formally published as ISO or ASTM standards. Goren and his coworkers ignore many of these standards in favor of introducing untested methodologies.</w:t>
      </w:r>
    </w:p>
    <w:p w14:paraId="2346E00B" w14:textId="77777777" w:rsidR="003317AE" w:rsidRPr="003317AE" w:rsidRDefault="003317AE" w:rsidP="003317AE">
      <w:pPr>
        <w:numPr>
          <w:ilvl w:val="0"/>
          <w:numId w:val="17"/>
        </w:numPr>
        <w:tabs>
          <w:tab w:val="left" w:pos="900"/>
        </w:tabs>
        <w:spacing w:after="0" w:line="240" w:lineRule="auto"/>
        <w:contextualSpacing/>
        <w:rPr>
          <w:rFonts w:eastAsiaTheme="minorHAnsi"/>
          <w:lang w:val="en-US"/>
        </w:rPr>
      </w:pPr>
      <w:r w:rsidRPr="003317AE">
        <w:rPr>
          <w:rFonts w:eastAsiaTheme="minorHAnsi"/>
          <w:lang w:val="en-US"/>
        </w:rPr>
        <w:t xml:space="preserve">Goren and his coworkers do not follow the rigorous testing procedures required to prove that new methodologies are effective. Their description of how these techniques have been tested show how poorly based their approach is. The SPA methodology is the very definition of non-random </w:t>
      </w:r>
      <w:r w:rsidRPr="003317AE">
        <w:rPr>
          <w:rFonts w:eastAsiaTheme="minorHAnsi"/>
          <w:lang w:val="en-US"/>
        </w:rPr>
        <w:lastRenderedPageBreak/>
        <w:t xml:space="preserve">sampling, so the information it provides will skew any analysis that results. </w:t>
      </w:r>
    </w:p>
    <w:p w14:paraId="710DC4B5" w14:textId="2B2EA12E" w:rsidR="003317AE" w:rsidRPr="003317AE" w:rsidRDefault="003317AE" w:rsidP="003317AE">
      <w:pPr>
        <w:numPr>
          <w:ilvl w:val="0"/>
          <w:numId w:val="17"/>
        </w:numPr>
        <w:tabs>
          <w:tab w:val="left" w:pos="900"/>
        </w:tabs>
        <w:spacing w:after="0" w:line="240" w:lineRule="auto"/>
        <w:contextualSpacing/>
        <w:rPr>
          <w:rFonts w:eastAsiaTheme="minorHAnsi"/>
          <w:lang w:val="en-US"/>
        </w:rPr>
      </w:pPr>
      <w:r w:rsidRPr="003317AE">
        <w:rPr>
          <w:rFonts w:eastAsiaTheme="minorHAnsi"/>
          <w:lang w:val="en-US"/>
        </w:rPr>
        <w:t>Systematic point counts were never reported in any of the cited petrographic studies. As a result, the petrographic analyses are all qualitative, and, therefore, can more easily be manipulated by researchers to conform to preconceived provenance categories.</w:t>
      </w:r>
    </w:p>
    <w:p w14:paraId="3840553B" w14:textId="77777777" w:rsidR="003317AE" w:rsidRPr="003317AE" w:rsidRDefault="003317AE" w:rsidP="003317AE">
      <w:pPr>
        <w:numPr>
          <w:ilvl w:val="0"/>
          <w:numId w:val="17"/>
        </w:numPr>
        <w:tabs>
          <w:tab w:val="left" w:pos="900"/>
        </w:tabs>
        <w:spacing w:after="0" w:line="240" w:lineRule="auto"/>
        <w:contextualSpacing/>
        <w:rPr>
          <w:rFonts w:eastAsiaTheme="minorHAnsi"/>
          <w:lang w:val="en-US"/>
        </w:rPr>
      </w:pPr>
      <w:r w:rsidRPr="003317AE">
        <w:rPr>
          <w:rFonts w:eastAsiaTheme="minorHAnsi"/>
          <w:lang w:val="en-US"/>
        </w:rPr>
        <w:t xml:space="preserve">It is unclear why Goren and his coworkers would have chosen ICP-MS/AES as their primary analytical tools when by their own admission, the analyses are not comparable to NAA. NAA is the standard analytical methodology used by archaeologists and geologists in the region and contains the largest comparative database for provenance determinations. </w:t>
      </w:r>
    </w:p>
    <w:p w14:paraId="17128D7B" w14:textId="77777777" w:rsidR="003317AE" w:rsidRPr="003317AE" w:rsidRDefault="003317AE" w:rsidP="003317AE">
      <w:pPr>
        <w:numPr>
          <w:ilvl w:val="0"/>
          <w:numId w:val="17"/>
        </w:numPr>
        <w:tabs>
          <w:tab w:val="left" w:pos="900"/>
        </w:tabs>
        <w:spacing w:after="0" w:line="240" w:lineRule="auto"/>
        <w:contextualSpacing/>
        <w:rPr>
          <w:rFonts w:eastAsiaTheme="minorHAnsi"/>
          <w:lang w:val="en-US"/>
        </w:rPr>
      </w:pPr>
      <w:r w:rsidRPr="003317AE">
        <w:rPr>
          <w:rFonts w:eastAsiaTheme="minorHAnsi"/>
          <w:lang w:val="en-US"/>
        </w:rPr>
        <w:t>The samples collected for the ICP-MS/AES are too small to provide accurate chemical analytical results.</w:t>
      </w:r>
    </w:p>
    <w:p w14:paraId="3DCA6161" w14:textId="77777777" w:rsidR="003317AE" w:rsidRPr="003317AE" w:rsidRDefault="003317AE" w:rsidP="003317AE">
      <w:pPr>
        <w:numPr>
          <w:ilvl w:val="0"/>
          <w:numId w:val="17"/>
        </w:numPr>
        <w:tabs>
          <w:tab w:val="left" w:pos="900"/>
        </w:tabs>
        <w:spacing w:after="0" w:line="240" w:lineRule="auto"/>
        <w:contextualSpacing/>
        <w:rPr>
          <w:rFonts w:eastAsiaTheme="minorHAnsi"/>
          <w:lang w:val="en-US"/>
        </w:rPr>
      </w:pPr>
      <w:r w:rsidRPr="003317AE">
        <w:rPr>
          <w:rFonts w:eastAsiaTheme="minorHAnsi"/>
          <w:lang w:val="en-US"/>
        </w:rPr>
        <w:t>The samples collected by “peeling” a tablet are too small to provide a statistically significant petrographic analysis.</w:t>
      </w:r>
    </w:p>
    <w:p w14:paraId="18069AD6" w14:textId="77777777" w:rsidR="003317AE" w:rsidRPr="003317AE" w:rsidRDefault="003317AE" w:rsidP="003317AE">
      <w:pPr>
        <w:numPr>
          <w:ilvl w:val="0"/>
          <w:numId w:val="17"/>
        </w:numPr>
        <w:tabs>
          <w:tab w:val="left" w:pos="900"/>
        </w:tabs>
        <w:spacing w:after="0" w:line="240" w:lineRule="auto"/>
        <w:contextualSpacing/>
        <w:rPr>
          <w:rFonts w:eastAsiaTheme="minorHAnsi"/>
          <w:lang w:val="en-US"/>
        </w:rPr>
      </w:pPr>
      <w:r w:rsidRPr="003317AE">
        <w:rPr>
          <w:rFonts w:eastAsiaTheme="minorHAnsi"/>
          <w:lang w:val="en-US"/>
        </w:rPr>
        <w:t>The workers do not clearly explain why certain results are excluded from their analyses. It is also unclear if the same elements are being excluded from every assessment or if different elements are excluded from different assessments.</w:t>
      </w:r>
    </w:p>
    <w:p w14:paraId="506EB9FD" w14:textId="77777777" w:rsidR="003317AE" w:rsidRPr="003317AE" w:rsidRDefault="003317AE" w:rsidP="003317AE">
      <w:pPr>
        <w:numPr>
          <w:ilvl w:val="0"/>
          <w:numId w:val="17"/>
        </w:numPr>
        <w:tabs>
          <w:tab w:val="left" w:pos="900"/>
        </w:tabs>
        <w:spacing w:after="0" w:line="240" w:lineRule="auto"/>
        <w:contextualSpacing/>
        <w:rPr>
          <w:rFonts w:eastAsiaTheme="minorHAnsi"/>
          <w:lang w:val="en-US"/>
        </w:rPr>
      </w:pPr>
      <w:r w:rsidRPr="003317AE">
        <w:rPr>
          <w:rFonts w:eastAsiaTheme="minorHAnsi"/>
          <w:lang w:val="en-US"/>
        </w:rPr>
        <w:t xml:space="preserve">The absence of quantitative point counts makes it more difficult to objectively code petrographic characters for cluster or principle components analysis. For example, should the presence of a single unusual mineral grain in a thin section carry the same weight as a thin section in which 10% of the inclusions are of that mineral type? In a qualitative analysis, it is much easier to code the characters to create the appearance that the two thin sections are very similar for this character. </w:t>
      </w:r>
    </w:p>
    <w:p w14:paraId="42E20C3B" w14:textId="77777777" w:rsidR="003317AE" w:rsidRPr="003317AE" w:rsidRDefault="003317AE" w:rsidP="003317AE">
      <w:pPr>
        <w:numPr>
          <w:ilvl w:val="0"/>
          <w:numId w:val="17"/>
        </w:numPr>
        <w:tabs>
          <w:tab w:val="left" w:pos="900"/>
        </w:tabs>
        <w:spacing w:after="0" w:line="240" w:lineRule="auto"/>
        <w:contextualSpacing/>
        <w:rPr>
          <w:rFonts w:eastAsiaTheme="minorHAnsi"/>
          <w:lang w:val="en-US"/>
        </w:rPr>
      </w:pPr>
      <w:r w:rsidRPr="003317AE">
        <w:rPr>
          <w:rFonts w:eastAsiaTheme="minorHAnsi"/>
          <w:lang w:val="en-US"/>
        </w:rPr>
        <w:t>The authors discuss numerous statistical tests that have supposedly been applied to their data, but they never illustrate the results of these tests. The readers are expected to accept their written description of what the analyses revealed. Nor do they describe carefully what input data were used, most specifically if the petrographic results were tested statistically.</w:t>
      </w:r>
    </w:p>
    <w:p w14:paraId="74FC0DCB" w14:textId="77777777" w:rsidR="003317AE" w:rsidRPr="003317AE" w:rsidRDefault="003317AE" w:rsidP="003317AE">
      <w:pPr>
        <w:tabs>
          <w:tab w:val="left" w:pos="900"/>
        </w:tabs>
        <w:spacing w:after="0" w:line="240" w:lineRule="auto"/>
        <w:rPr>
          <w:rFonts w:eastAsiaTheme="minorHAnsi"/>
          <w:lang w:val="en-US"/>
        </w:rPr>
      </w:pPr>
    </w:p>
    <w:p w14:paraId="04AA2733" w14:textId="77777777" w:rsidR="003317AE" w:rsidRPr="003317AE" w:rsidRDefault="003317AE" w:rsidP="003317AE">
      <w:pPr>
        <w:tabs>
          <w:tab w:val="left" w:pos="900"/>
        </w:tabs>
        <w:spacing w:after="0" w:line="240" w:lineRule="auto"/>
        <w:rPr>
          <w:rFonts w:eastAsiaTheme="minorHAnsi"/>
          <w:lang w:val="en-US"/>
        </w:rPr>
      </w:pPr>
    </w:p>
    <w:p w14:paraId="0EAE8C26" w14:textId="77777777" w:rsidR="003317AE" w:rsidRPr="003317AE" w:rsidRDefault="003317AE" w:rsidP="003317AE">
      <w:pPr>
        <w:spacing w:after="200" w:line="240" w:lineRule="auto"/>
        <w:rPr>
          <w:rFonts w:eastAsiaTheme="minorHAnsi"/>
          <w:lang w:val="en-US"/>
        </w:rPr>
      </w:pPr>
      <w:r w:rsidRPr="003317AE">
        <w:rPr>
          <w:rFonts w:eastAsiaTheme="minorEastAsia"/>
          <w:b/>
          <w:szCs w:val="24"/>
          <w:lang w:val="en-US"/>
        </w:rPr>
        <w:t>REFERENCES</w:t>
      </w:r>
    </w:p>
    <w:p w14:paraId="59433F42" w14:textId="77777777" w:rsidR="003317AE" w:rsidRPr="003317AE" w:rsidRDefault="003317AE" w:rsidP="003317AE">
      <w:pPr>
        <w:numPr>
          <w:ilvl w:val="0"/>
          <w:numId w:val="14"/>
        </w:numPr>
        <w:spacing w:after="200" w:line="276" w:lineRule="auto"/>
        <w:contextualSpacing/>
        <w:rPr>
          <w:rFonts w:eastAsiaTheme="minorEastAsia"/>
          <w:szCs w:val="24"/>
          <w:lang w:val="en-US"/>
        </w:rPr>
      </w:pPr>
      <w:r w:rsidRPr="003317AE">
        <w:rPr>
          <w:rFonts w:eastAsiaTheme="minorEastAsia"/>
          <w:szCs w:val="24"/>
          <w:lang w:val="en-US"/>
        </w:rPr>
        <w:lastRenderedPageBreak/>
        <w:t>Adatte, T., Keller, G., Stüben, D., Harting, M., Kramar, U., Stinnesbeck, W., Abramovich, S., and Benjamini, C., 2005, Late Maastrichtian and K/T paleoenvironment of the eastern Tethys (Israel): mineralogy, trace and platinum group elements, biostratigraphy and faunal turnovers: Bull. Soc. géol. Fr., v. 176, p. 37-55.</w:t>
      </w:r>
    </w:p>
    <w:p w14:paraId="03DE9C53" w14:textId="77777777" w:rsidR="003317AE" w:rsidRPr="003317AE" w:rsidRDefault="003317AE" w:rsidP="003317AE">
      <w:pPr>
        <w:numPr>
          <w:ilvl w:val="0"/>
          <w:numId w:val="14"/>
        </w:numPr>
        <w:spacing w:after="200" w:line="276" w:lineRule="auto"/>
        <w:contextualSpacing/>
        <w:rPr>
          <w:rFonts w:eastAsiaTheme="minorEastAsia"/>
          <w:szCs w:val="24"/>
          <w:lang w:val="en-US"/>
        </w:rPr>
      </w:pPr>
      <w:r w:rsidRPr="003317AE">
        <w:rPr>
          <w:rFonts w:eastAsiaTheme="minorEastAsia"/>
          <w:szCs w:val="24"/>
          <w:lang w:val="en-US"/>
        </w:rPr>
        <w:t>Ahmed, A.A., Mansour, H.H., El-Younsy, A.R. and Shahin, M., 1992, Sedimentology and mineralogy of the Upper Cretaceous – Lower Eocene sequence, east of Beris Oasis, Western Desert, Egypt: Bulletin of the Faculty of Science, Assiut University, v. 21, p. 109-137.</w:t>
      </w:r>
    </w:p>
    <w:p w14:paraId="0E1FCB5C" w14:textId="77777777" w:rsidR="003317AE" w:rsidRPr="003317AE" w:rsidRDefault="003317AE" w:rsidP="003317AE">
      <w:pPr>
        <w:numPr>
          <w:ilvl w:val="0"/>
          <w:numId w:val="14"/>
        </w:numPr>
        <w:spacing w:after="200" w:line="276" w:lineRule="auto"/>
        <w:contextualSpacing/>
        <w:rPr>
          <w:rFonts w:eastAsiaTheme="minorEastAsia"/>
          <w:szCs w:val="24"/>
          <w:lang w:val="en-US"/>
        </w:rPr>
      </w:pPr>
      <w:r w:rsidRPr="003317AE">
        <w:rPr>
          <w:rFonts w:eastAsiaTheme="minorEastAsia"/>
          <w:szCs w:val="24"/>
          <w:lang w:val="en-US"/>
        </w:rPr>
        <w:t>AGI (American Geological Institute), 1962, Dictionary of geological terms: Garden City, Doubleday &amp;Company, Inc., 545 p.</w:t>
      </w:r>
    </w:p>
    <w:p w14:paraId="74C94C87" w14:textId="77777777" w:rsidR="003317AE" w:rsidRPr="003317AE" w:rsidRDefault="003317AE" w:rsidP="003317AE">
      <w:pPr>
        <w:numPr>
          <w:ilvl w:val="0"/>
          <w:numId w:val="14"/>
        </w:numPr>
        <w:spacing w:after="200" w:line="276" w:lineRule="auto"/>
        <w:contextualSpacing/>
        <w:rPr>
          <w:rFonts w:eastAsiaTheme="minorEastAsia"/>
          <w:szCs w:val="24"/>
          <w:lang w:val="en-US"/>
        </w:rPr>
      </w:pPr>
      <w:r w:rsidRPr="003317AE">
        <w:rPr>
          <w:rFonts w:eastAsiaTheme="minorEastAsia"/>
          <w:szCs w:val="24"/>
          <w:lang w:val="en-US"/>
        </w:rPr>
        <w:t>Aubry, M-P., Ouda, K., Dupuis, C., Berggren, W.A., Van Couvering, J.A., and the Members of the Working Group on the Paleocene/Eocene Boundary, 2007, The Global Standard Stratotype-section and Point (GSSP) for the base of the Eocene Series in the Dababiya section (Egypt): Episodes, v. 30, p. 271-286.</w:t>
      </w:r>
    </w:p>
    <w:p w14:paraId="6989DB84" w14:textId="77777777" w:rsidR="003317AE" w:rsidRPr="003317AE" w:rsidRDefault="003317AE" w:rsidP="003317AE">
      <w:pPr>
        <w:numPr>
          <w:ilvl w:val="0"/>
          <w:numId w:val="14"/>
        </w:numPr>
        <w:spacing w:after="200" w:line="276" w:lineRule="auto"/>
        <w:contextualSpacing/>
        <w:rPr>
          <w:rFonts w:eastAsiaTheme="minorEastAsia"/>
          <w:szCs w:val="24"/>
          <w:lang w:val="en-US"/>
        </w:rPr>
      </w:pPr>
      <w:r w:rsidRPr="003317AE">
        <w:rPr>
          <w:rFonts w:eastAsiaTheme="minorEastAsia"/>
          <w:szCs w:val="24"/>
          <w:lang w:val="en-US"/>
        </w:rPr>
        <w:t>Basta, E.Z., Abdel Maksoud, M. and Talaat Abdel Aziz, A., 1979, Mineralogical constitution of some Egyptian montmorillonitic clays using different X-ray diffraction techniques: Egyptian Journal of Geology, v. 23, p. 41-56.</w:t>
      </w:r>
    </w:p>
    <w:p w14:paraId="68B7362F" w14:textId="77777777" w:rsidR="003317AE" w:rsidRPr="003317AE" w:rsidRDefault="003317AE" w:rsidP="003317AE">
      <w:pPr>
        <w:numPr>
          <w:ilvl w:val="0"/>
          <w:numId w:val="14"/>
        </w:numPr>
        <w:spacing w:after="200" w:line="276" w:lineRule="auto"/>
        <w:contextualSpacing/>
        <w:rPr>
          <w:rFonts w:eastAsiaTheme="minorEastAsia"/>
          <w:szCs w:val="24"/>
          <w:lang w:val="en-US"/>
        </w:rPr>
      </w:pPr>
      <w:r w:rsidRPr="003317AE">
        <w:rPr>
          <w:rFonts w:eastAsiaTheme="minorEastAsia"/>
          <w:szCs w:val="24"/>
          <w:lang w:val="en-US"/>
        </w:rPr>
        <w:t>Ben-Avraham, Z., and Ballard, R.D., 1984, Near bottom temperature anomalies in the Dead Sea: Earth and Planetary Science Letters, v. 71, p. 356-360. https://</w:t>
      </w:r>
      <w:hyperlink r:id="rId14" w:tgtFrame="_blank" w:tooltip="Persistent link using digital object identifier" w:history="1">
        <w:r w:rsidRPr="003317AE">
          <w:rPr>
            <w:rFonts w:eastAsiaTheme="minorEastAsia"/>
            <w:color w:val="0563C1" w:themeColor="hyperlink"/>
            <w:szCs w:val="24"/>
            <w:u w:val="single"/>
            <w:lang w:val="en-US"/>
          </w:rPr>
          <w:t>doi.org/10.1016/0012-821X(84)90102-X</w:t>
        </w:r>
      </w:hyperlink>
    </w:p>
    <w:p w14:paraId="57A6A41B" w14:textId="77777777" w:rsidR="003317AE" w:rsidRPr="003317AE" w:rsidRDefault="003317AE" w:rsidP="003317AE">
      <w:pPr>
        <w:numPr>
          <w:ilvl w:val="0"/>
          <w:numId w:val="14"/>
        </w:numPr>
        <w:spacing w:after="200" w:line="276" w:lineRule="auto"/>
        <w:contextualSpacing/>
        <w:rPr>
          <w:rFonts w:eastAsiaTheme="minorEastAsia"/>
          <w:szCs w:val="24"/>
          <w:lang w:val="en-US"/>
        </w:rPr>
      </w:pPr>
      <w:r w:rsidRPr="003317AE">
        <w:rPr>
          <w:rFonts w:eastAsiaTheme="minorEastAsia"/>
          <w:szCs w:val="24"/>
          <w:lang w:val="en-US"/>
        </w:rPr>
        <w:t xml:space="preserve">Bounouira, H., Choukri, A., Elmoursli, R.C., Hakam, O.K., and Chakiri, S., 2007, Distribution of the rare earth elements in the sediments of the Bouregreg river (Morocco) using the instrumental neutron activation analysis (INAA): Journal of Applied Science and Environmental Management, v. 11, p. 57-60. </w:t>
      </w:r>
    </w:p>
    <w:p w14:paraId="2EF28364" w14:textId="77777777" w:rsidR="003317AE" w:rsidRPr="003317AE" w:rsidRDefault="003317AE" w:rsidP="003317AE">
      <w:pPr>
        <w:numPr>
          <w:ilvl w:val="0"/>
          <w:numId w:val="14"/>
        </w:numPr>
        <w:spacing w:after="200" w:line="276" w:lineRule="auto"/>
        <w:contextualSpacing/>
        <w:rPr>
          <w:rFonts w:eastAsiaTheme="minorEastAsia"/>
          <w:szCs w:val="24"/>
          <w:lang w:val="en-US"/>
        </w:rPr>
      </w:pPr>
      <w:r w:rsidRPr="003317AE">
        <w:rPr>
          <w:rFonts w:eastAsiaTheme="minorEastAsia"/>
          <w:szCs w:val="24"/>
          <w:lang w:val="en-US"/>
        </w:rPr>
        <w:lastRenderedPageBreak/>
        <w:t xml:space="preserve">Buchbinder, B., and Zilberman, E., 1997, Sequence stratigraphy of Miocene-Pliocene carbonate-siliciclastic shelf deposits in the eastern Mediterranean margin (Israel): effects of eustasy and tectonics: Sedimentary Geology, v. 112, p. 7-32. </w:t>
      </w:r>
      <w:hyperlink r:id="rId15" w:tgtFrame="_blank" w:tooltip="Persistent link using digital object identifier" w:history="1">
        <w:r w:rsidRPr="003317AE">
          <w:rPr>
            <w:rFonts w:eastAsiaTheme="minorEastAsia"/>
            <w:color w:val="0563C1" w:themeColor="hyperlink"/>
            <w:szCs w:val="24"/>
            <w:u w:val="single"/>
            <w:lang w:val="en-US"/>
          </w:rPr>
          <w:t>https://doi.org/10.1016/S0037-0738(97)00034-1</w:t>
        </w:r>
      </w:hyperlink>
    </w:p>
    <w:p w14:paraId="28A7562A" w14:textId="77777777" w:rsidR="003317AE" w:rsidRPr="003317AE" w:rsidRDefault="003317AE" w:rsidP="003317AE">
      <w:pPr>
        <w:numPr>
          <w:ilvl w:val="0"/>
          <w:numId w:val="14"/>
        </w:numPr>
        <w:spacing w:after="200" w:line="276" w:lineRule="auto"/>
        <w:contextualSpacing/>
        <w:rPr>
          <w:rFonts w:eastAsiaTheme="minorEastAsia"/>
          <w:szCs w:val="24"/>
          <w:lang w:val="en-US"/>
        </w:rPr>
      </w:pPr>
      <w:r w:rsidRPr="003317AE">
        <w:rPr>
          <w:rFonts w:eastAsiaTheme="minorEastAsia"/>
          <w:szCs w:val="24"/>
          <w:lang w:val="en-US"/>
        </w:rPr>
        <w:t xml:space="preserve">Bustin, R.M., 1991, Quantifying macerals: Some statistical and practical considerations: International Journal of Coal Geology, v. 17, p. 213-238. </w:t>
      </w:r>
      <w:hyperlink r:id="rId16" w:tgtFrame="_blank" w:tooltip="Persistent link using digital object identifier" w:history="1">
        <w:r w:rsidRPr="003317AE">
          <w:rPr>
            <w:rFonts w:eastAsiaTheme="minorEastAsia"/>
            <w:color w:val="0563C1" w:themeColor="hyperlink"/>
            <w:szCs w:val="24"/>
            <w:u w:val="single"/>
            <w:lang w:val="en-US"/>
          </w:rPr>
          <w:t>https://doi.org/10.1016/0166-5162(91)90033-F</w:t>
        </w:r>
      </w:hyperlink>
    </w:p>
    <w:p w14:paraId="36A163FF" w14:textId="77777777" w:rsidR="003317AE" w:rsidRPr="003317AE" w:rsidRDefault="003317AE" w:rsidP="003317AE">
      <w:pPr>
        <w:numPr>
          <w:ilvl w:val="0"/>
          <w:numId w:val="14"/>
        </w:numPr>
        <w:spacing w:after="200" w:line="276" w:lineRule="auto"/>
        <w:contextualSpacing/>
        <w:rPr>
          <w:rFonts w:eastAsiaTheme="minorEastAsia"/>
          <w:szCs w:val="24"/>
          <w:lang w:val="en-US"/>
        </w:rPr>
      </w:pPr>
      <w:r w:rsidRPr="003317AE">
        <w:rPr>
          <w:rFonts w:eastAsiaTheme="minorEastAsia"/>
          <w:szCs w:val="24"/>
          <w:lang w:val="en-US"/>
        </w:rPr>
        <w:t>Campbell, E., Duncan, I., and Hibbitts, H., 2005, Analysis of errors occurring in the transfer of geologic point data from field maps to digital data sets: U.S. Geological Survey Open-File Report 2005-1428, 5p.</w:t>
      </w:r>
    </w:p>
    <w:p w14:paraId="68860633" w14:textId="77777777" w:rsidR="003317AE" w:rsidRPr="003317AE" w:rsidRDefault="003317AE" w:rsidP="003317AE">
      <w:pPr>
        <w:numPr>
          <w:ilvl w:val="0"/>
          <w:numId w:val="14"/>
        </w:numPr>
        <w:spacing w:after="200" w:line="276" w:lineRule="auto"/>
        <w:contextualSpacing/>
        <w:rPr>
          <w:rFonts w:eastAsiaTheme="minorEastAsia"/>
          <w:szCs w:val="24"/>
          <w:lang w:val="en-US"/>
        </w:rPr>
      </w:pPr>
      <w:r w:rsidRPr="003317AE">
        <w:rPr>
          <w:rFonts w:eastAsiaTheme="minorEastAsia"/>
          <w:szCs w:val="24"/>
          <w:lang w:val="en-US"/>
        </w:rPr>
        <w:t>Cohen-Weinberger, A., and Goren, Y., 2004, Levantine-Egyptian interactions during the 12th to the 15th dynasties based on the petrography of the Canaanite pottery from Tell El-DabʿA: Austrian Academy of Sciences Press, Ägypten und Levante / Egypt and the Levant, v. 14, p. 69-100.</w:t>
      </w:r>
    </w:p>
    <w:p w14:paraId="78A8C730" w14:textId="77777777" w:rsidR="003317AE" w:rsidRPr="003317AE" w:rsidRDefault="003317AE" w:rsidP="003317AE">
      <w:pPr>
        <w:numPr>
          <w:ilvl w:val="0"/>
          <w:numId w:val="14"/>
        </w:numPr>
        <w:spacing w:after="200" w:line="276" w:lineRule="auto"/>
        <w:contextualSpacing/>
        <w:rPr>
          <w:rFonts w:eastAsiaTheme="minorEastAsia"/>
          <w:szCs w:val="24"/>
          <w:lang w:val="en-US"/>
        </w:rPr>
      </w:pPr>
      <w:r w:rsidRPr="003317AE">
        <w:rPr>
          <w:rFonts w:eastAsiaTheme="minorEastAsia"/>
          <w:szCs w:val="24"/>
          <w:lang w:val="en-US"/>
        </w:rPr>
        <w:t>Cox, D.P., and Singer, D.A., 1992, Mineral deposit models, U.S. Geological Survey Bulletin 1693, 400p.</w:t>
      </w:r>
    </w:p>
    <w:p w14:paraId="7DEE7585" w14:textId="77777777" w:rsidR="003317AE" w:rsidRPr="003317AE" w:rsidRDefault="003317AE" w:rsidP="003317AE">
      <w:pPr>
        <w:numPr>
          <w:ilvl w:val="0"/>
          <w:numId w:val="14"/>
        </w:numPr>
        <w:spacing w:after="200" w:line="276" w:lineRule="auto"/>
        <w:contextualSpacing/>
        <w:rPr>
          <w:rFonts w:eastAsiaTheme="minorEastAsia"/>
          <w:szCs w:val="24"/>
          <w:lang w:val="en-US"/>
        </w:rPr>
      </w:pPr>
      <w:r w:rsidRPr="003317AE">
        <w:rPr>
          <w:rFonts w:eastAsiaTheme="minorEastAsia"/>
          <w:szCs w:val="24"/>
          <w:lang w:val="en-US"/>
        </w:rPr>
        <w:t xml:space="preserve">Demirmen, F., 1971, Counting error in petrographic point-count analysis: A theoretical and experimental study: Journal of the International Association for Mathematical Geology, v. 3, p. 15-41. </w:t>
      </w:r>
      <w:hyperlink r:id="rId17" w:history="1">
        <w:r w:rsidRPr="003317AE">
          <w:rPr>
            <w:rFonts w:eastAsiaTheme="minorEastAsia"/>
            <w:color w:val="0563C1" w:themeColor="hyperlink"/>
            <w:szCs w:val="24"/>
            <w:u w:val="single"/>
            <w:lang w:val="en-US"/>
          </w:rPr>
          <w:t>https://doi.org/10.1007/BF02047430</w:t>
        </w:r>
      </w:hyperlink>
      <w:r w:rsidRPr="003317AE">
        <w:rPr>
          <w:rFonts w:eastAsiaTheme="minorEastAsia"/>
          <w:szCs w:val="24"/>
          <w:lang w:val="en-US"/>
        </w:rPr>
        <w:t xml:space="preserve"> </w:t>
      </w:r>
    </w:p>
    <w:p w14:paraId="401F5D89" w14:textId="77777777" w:rsidR="003317AE" w:rsidRPr="003317AE" w:rsidRDefault="003317AE" w:rsidP="003317AE">
      <w:pPr>
        <w:numPr>
          <w:ilvl w:val="0"/>
          <w:numId w:val="14"/>
        </w:numPr>
        <w:spacing w:after="200" w:line="276" w:lineRule="auto"/>
        <w:contextualSpacing/>
        <w:rPr>
          <w:rFonts w:eastAsiaTheme="minorEastAsia"/>
          <w:szCs w:val="24"/>
          <w:lang w:val="en-US"/>
        </w:rPr>
      </w:pPr>
      <w:r w:rsidRPr="003317AE">
        <w:rPr>
          <w:rFonts w:eastAsiaTheme="minorEastAsia"/>
          <w:szCs w:val="24"/>
          <w:lang w:val="en-US"/>
        </w:rPr>
        <w:t xml:space="preserve">Dennison, J.M., 1966, Reliability of visual estimates of grain abundance: Journal of Sedimentary Research, v. 36, p. 81-89. </w:t>
      </w:r>
      <w:hyperlink r:id="rId18" w:tgtFrame="_blank" w:history="1">
        <w:r w:rsidRPr="003317AE">
          <w:rPr>
            <w:rFonts w:eastAsiaTheme="minorEastAsia"/>
            <w:color w:val="0563C1" w:themeColor="hyperlink"/>
            <w:szCs w:val="24"/>
            <w:u w:val="single"/>
            <w:lang w:val="en-US"/>
          </w:rPr>
          <w:t>https://doi.org/10.1306/74D71410-2B21-11D7-8648000102C1865D</w:t>
        </w:r>
      </w:hyperlink>
    </w:p>
    <w:p w14:paraId="0E54321B" w14:textId="77777777" w:rsidR="003317AE" w:rsidRPr="003317AE" w:rsidRDefault="003317AE" w:rsidP="003317AE">
      <w:pPr>
        <w:numPr>
          <w:ilvl w:val="0"/>
          <w:numId w:val="14"/>
        </w:numPr>
        <w:spacing w:after="200" w:line="276" w:lineRule="auto"/>
        <w:contextualSpacing/>
        <w:rPr>
          <w:rFonts w:eastAsiaTheme="minorEastAsia"/>
          <w:szCs w:val="24"/>
          <w:lang w:val="en-US"/>
        </w:rPr>
      </w:pPr>
      <w:r w:rsidRPr="003317AE">
        <w:rPr>
          <w:rFonts w:eastAsiaTheme="minorEastAsia"/>
          <w:szCs w:val="24"/>
          <w:lang w:val="en-US"/>
        </w:rPr>
        <w:t>Dupuis, C., Aubry, M., Steurbaut, E., Berggren, W.A., Ouda, K., Magioncalda, R., Cramer, B.S., Kent, D.V., Speijer, R.P., and Heilmann-Clausen, C., 2005, The Dababiya Quarry Section: Lithostratigraphy, clay mineralogy, geochemistry and paleontology: Micropaleontology, v. 49 (Supplement 1), p.41-59. https://doi.org/10.2113/49.Suppl_1.41</w:t>
      </w:r>
    </w:p>
    <w:p w14:paraId="4F12E769" w14:textId="77777777" w:rsidR="003317AE" w:rsidRPr="003317AE" w:rsidRDefault="003317AE" w:rsidP="003317AE">
      <w:pPr>
        <w:numPr>
          <w:ilvl w:val="0"/>
          <w:numId w:val="14"/>
        </w:numPr>
        <w:spacing w:after="200" w:line="276" w:lineRule="auto"/>
        <w:contextualSpacing/>
        <w:rPr>
          <w:rFonts w:eastAsiaTheme="minorEastAsia"/>
          <w:szCs w:val="24"/>
          <w:lang w:val="en-US"/>
        </w:rPr>
      </w:pPr>
      <w:r w:rsidRPr="003317AE">
        <w:rPr>
          <w:rFonts w:eastAsiaTheme="minorEastAsia"/>
          <w:szCs w:val="24"/>
          <w:lang w:val="en-US"/>
        </w:rPr>
        <w:t xml:space="preserve">Eaton, S., and Robertson, A., 1993, The Miocene Pakhna Formation, southern Cyprus and its relationship to the Neogene tectonic evolution of </w:t>
      </w:r>
      <w:r w:rsidRPr="003317AE">
        <w:rPr>
          <w:rFonts w:eastAsiaTheme="minorEastAsia"/>
          <w:szCs w:val="24"/>
          <w:lang w:val="en-US"/>
        </w:rPr>
        <w:lastRenderedPageBreak/>
        <w:t xml:space="preserve">the Eastern Mediterranean: Sedimentary Geology, v. 86, p. 273-296. </w:t>
      </w:r>
      <w:hyperlink r:id="rId19" w:tgtFrame="_blank" w:tooltip="Persistent link using digital object identifier" w:history="1">
        <w:r w:rsidRPr="003317AE">
          <w:rPr>
            <w:rFonts w:eastAsiaTheme="minorEastAsia"/>
            <w:color w:val="0563C1" w:themeColor="hyperlink"/>
            <w:szCs w:val="24"/>
            <w:u w:val="single"/>
            <w:lang w:val="en-US"/>
          </w:rPr>
          <w:t>https://doi.org/10.1016/0037-0738(93)90026-2</w:t>
        </w:r>
      </w:hyperlink>
    </w:p>
    <w:p w14:paraId="23448A6D" w14:textId="77777777" w:rsidR="003317AE" w:rsidRPr="003317AE" w:rsidRDefault="003317AE" w:rsidP="003317AE">
      <w:pPr>
        <w:numPr>
          <w:ilvl w:val="0"/>
          <w:numId w:val="14"/>
        </w:numPr>
        <w:spacing w:after="200" w:line="276" w:lineRule="auto"/>
        <w:contextualSpacing/>
        <w:rPr>
          <w:rFonts w:eastAsiaTheme="minorEastAsia"/>
          <w:szCs w:val="24"/>
          <w:lang w:val="en-US"/>
        </w:rPr>
      </w:pPr>
      <w:r w:rsidRPr="003317AE">
        <w:rPr>
          <w:rFonts w:eastAsiaTheme="minorEastAsia"/>
          <w:szCs w:val="24"/>
          <w:lang w:val="en-US"/>
        </w:rPr>
        <w:t xml:space="preserve">Flanagan, F.J., 1967, U.S. Geological Survey silicate rock standards: Geochimica et Cosmochimica Acta, v. 31, p. 289-308. </w:t>
      </w:r>
      <w:hyperlink r:id="rId20" w:tgtFrame="_blank" w:tooltip="Persistent link using digital object identifier" w:history="1">
        <w:r w:rsidRPr="003317AE">
          <w:rPr>
            <w:rFonts w:eastAsiaTheme="minorEastAsia"/>
            <w:color w:val="0563C1" w:themeColor="hyperlink"/>
            <w:szCs w:val="24"/>
            <w:u w:val="single"/>
            <w:lang w:val="en-US"/>
          </w:rPr>
          <w:t>https://doi.org/10.1016/0016-7037(67)90043-9</w:t>
        </w:r>
      </w:hyperlink>
    </w:p>
    <w:p w14:paraId="177F44ED" w14:textId="77777777" w:rsidR="003317AE" w:rsidRPr="003317AE" w:rsidRDefault="003317AE" w:rsidP="003317AE">
      <w:pPr>
        <w:numPr>
          <w:ilvl w:val="0"/>
          <w:numId w:val="14"/>
        </w:numPr>
        <w:spacing w:after="200" w:line="276" w:lineRule="auto"/>
        <w:contextualSpacing/>
        <w:rPr>
          <w:rFonts w:eastAsiaTheme="minorEastAsia"/>
          <w:szCs w:val="24"/>
          <w:lang w:val="en-US"/>
        </w:rPr>
      </w:pPr>
      <w:r w:rsidRPr="003317AE">
        <w:rPr>
          <w:rFonts w:eastAsiaTheme="minorEastAsia"/>
          <w:szCs w:val="24"/>
          <w:lang w:val="en-US"/>
        </w:rPr>
        <w:t xml:space="preserve">Flanagan, F.J., 1986, Reference samples in geology and geochemistry: U.S. Geological Survey Bulletin 1582, 80p. </w:t>
      </w:r>
      <w:hyperlink r:id="rId21" w:history="1">
        <w:r w:rsidRPr="003317AE">
          <w:rPr>
            <w:rFonts w:eastAsiaTheme="minorEastAsia"/>
            <w:color w:val="0563C1" w:themeColor="hyperlink"/>
            <w:szCs w:val="24"/>
            <w:u w:val="single"/>
            <w:lang w:val="en-US"/>
          </w:rPr>
          <w:t>https://pubs.usgs.gov/bul/1582/report.pdf</w:t>
        </w:r>
      </w:hyperlink>
      <w:r w:rsidRPr="003317AE">
        <w:rPr>
          <w:rFonts w:eastAsiaTheme="minorEastAsia"/>
          <w:szCs w:val="24"/>
          <w:lang w:val="en-US"/>
        </w:rPr>
        <w:t xml:space="preserve"> </w:t>
      </w:r>
    </w:p>
    <w:p w14:paraId="0883FCF6" w14:textId="77777777" w:rsidR="003317AE" w:rsidRPr="003317AE" w:rsidRDefault="003317AE" w:rsidP="003317AE">
      <w:pPr>
        <w:numPr>
          <w:ilvl w:val="0"/>
          <w:numId w:val="14"/>
        </w:numPr>
        <w:spacing w:after="200" w:line="276" w:lineRule="auto"/>
        <w:contextualSpacing/>
        <w:rPr>
          <w:rFonts w:eastAsiaTheme="minorEastAsia"/>
          <w:szCs w:val="24"/>
          <w:lang w:val="en-US"/>
        </w:rPr>
      </w:pPr>
      <w:r w:rsidRPr="003317AE">
        <w:rPr>
          <w:rFonts w:eastAsiaTheme="minorEastAsia"/>
          <w:szCs w:val="24"/>
          <w:lang w:val="en-US"/>
        </w:rPr>
        <w:t xml:space="preserve">Flexer, A., Rosenfeld, A., Lipson-Benitah, S., and Honigstein, A., 1986, Relative sea level changes during the Cretaceous in Israel: Bulletin of the American Association of Petroleum Geologists, v. 11, p. 1685-1699. </w:t>
      </w:r>
    </w:p>
    <w:p w14:paraId="4A8C1A12" w14:textId="77777777" w:rsidR="003317AE" w:rsidRPr="003317AE" w:rsidRDefault="003317AE" w:rsidP="003317AE">
      <w:pPr>
        <w:numPr>
          <w:ilvl w:val="0"/>
          <w:numId w:val="14"/>
        </w:numPr>
        <w:spacing w:after="200" w:line="276" w:lineRule="auto"/>
        <w:contextualSpacing/>
        <w:rPr>
          <w:rFonts w:eastAsiaTheme="minorEastAsia"/>
          <w:szCs w:val="24"/>
          <w:lang w:val="en-US"/>
        </w:rPr>
      </w:pPr>
      <w:r w:rsidRPr="003317AE">
        <w:rPr>
          <w:rFonts w:eastAsiaTheme="minorEastAsia"/>
          <w:szCs w:val="24"/>
          <w:lang w:val="en-US"/>
        </w:rPr>
        <w:t>Flügel, E., Microfacies analysis of limestones: Berlin, Springer-Verlag, 633p. https://doi.org/10.1007/978-3-642-68423-4</w:t>
      </w:r>
    </w:p>
    <w:p w14:paraId="7BD100EC" w14:textId="77777777" w:rsidR="003317AE" w:rsidRPr="003317AE" w:rsidRDefault="003317AE" w:rsidP="003317AE">
      <w:pPr>
        <w:numPr>
          <w:ilvl w:val="0"/>
          <w:numId w:val="14"/>
        </w:numPr>
        <w:spacing w:after="200" w:line="276" w:lineRule="auto"/>
        <w:contextualSpacing/>
        <w:rPr>
          <w:rFonts w:eastAsiaTheme="minorEastAsia"/>
          <w:szCs w:val="24"/>
          <w:lang w:val="en-US"/>
        </w:rPr>
      </w:pPr>
      <w:r w:rsidRPr="003317AE">
        <w:rPr>
          <w:rFonts w:eastAsiaTheme="minorEastAsia"/>
          <w:szCs w:val="24"/>
          <w:lang w:val="en-US"/>
        </w:rPr>
        <w:t xml:space="preserve">Foley, N.K., 1999, Environmental characteristics of clays and clay mineral deposits: US Geological Survey Information Handout, 2p. </w:t>
      </w:r>
      <w:hyperlink r:id="rId22" w:history="1">
        <w:r w:rsidRPr="003317AE">
          <w:rPr>
            <w:rFonts w:eastAsiaTheme="minorEastAsia"/>
            <w:color w:val="0563C1" w:themeColor="hyperlink"/>
            <w:szCs w:val="24"/>
            <w:u w:val="single"/>
            <w:lang w:val="en-US"/>
          </w:rPr>
          <w:t>https://pubs.usgs.gov/info/clays/clays.pdf</w:t>
        </w:r>
      </w:hyperlink>
      <w:r w:rsidRPr="003317AE">
        <w:rPr>
          <w:rFonts w:eastAsiaTheme="minorEastAsia"/>
          <w:szCs w:val="24"/>
          <w:lang w:val="en-US"/>
        </w:rPr>
        <w:t xml:space="preserve"> (Accessed 4/2/2019)</w:t>
      </w:r>
    </w:p>
    <w:p w14:paraId="1C1D5C84" w14:textId="77777777" w:rsidR="003317AE" w:rsidRPr="003317AE" w:rsidRDefault="003317AE" w:rsidP="003317AE">
      <w:pPr>
        <w:numPr>
          <w:ilvl w:val="0"/>
          <w:numId w:val="14"/>
        </w:numPr>
        <w:spacing w:after="200" w:line="276" w:lineRule="auto"/>
        <w:contextualSpacing/>
        <w:rPr>
          <w:rFonts w:eastAsiaTheme="minorEastAsia"/>
          <w:szCs w:val="24"/>
          <w:lang w:val="en-US"/>
        </w:rPr>
      </w:pPr>
      <w:r w:rsidRPr="003317AE">
        <w:rPr>
          <w:rFonts w:eastAsiaTheme="minorEastAsia"/>
          <w:szCs w:val="24"/>
          <w:lang w:val="en-US"/>
        </w:rPr>
        <w:t xml:space="preserve">Goren, Y., 1995, Shrines and ceramics in chalcolithic Israel: The view through the petrographic microscope: Archaeometry, v. 37, p. 287- 305. </w:t>
      </w:r>
    </w:p>
    <w:p w14:paraId="2D72F451" w14:textId="77777777" w:rsidR="003317AE" w:rsidRPr="003317AE" w:rsidRDefault="003317AE" w:rsidP="003317AE">
      <w:pPr>
        <w:numPr>
          <w:ilvl w:val="0"/>
          <w:numId w:val="14"/>
        </w:numPr>
        <w:spacing w:after="200" w:line="276" w:lineRule="auto"/>
        <w:contextualSpacing/>
        <w:rPr>
          <w:rFonts w:eastAsiaTheme="minorEastAsia"/>
          <w:szCs w:val="24"/>
          <w:lang w:val="en-US"/>
        </w:rPr>
      </w:pPr>
      <w:r w:rsidRPr="003317AE">
        <w:rPr>
          <w:rFonts w:eastAsiaTheme="minorEastAsia"/>
          <w:szCs w:val="24"/>
          <w:lang w:val="en-US"/>
        </w:rPr>
        <w:t>Goren, Y., 1996, The Southern Levant in the Early Bronze Age IV: The petrographic perspective: Bulletin of the American Schools of Oriental Research, v. 303, p. 33-72. https://doi.org/10.2307/1357469</w:t>
      </w:r>
    </w:p>
    <w:p w14:paraId="2E13A264" w14:textId="77777777" w:rsidR="003317AE" w:rsidRPr="003317AE" w:rsidRDefault="003317AE" w:rsidP="003317AE">
      <w:pPr>
        <w:numPr>
          <w:ilvl w:val="0"/>
          <w:numId w:val="14"/>
        </w:numPr>
        <w:spacing w:after="200" w:line="276" w:lineRule="auto"/>
        <w:contextualSpacing/>
        <w:rPr>
          <w:rFonts w:eastAsiaTheme="minorEastAsia"/>
          <w:szCs w:val="24"/>
          <w:lang w:val="en-US"/>
        </w:rPr>
      </w:pPr>
      <w:r w:rsidRPr="003317AE">
        <w:rPr>
          <w:rFonts w:eastAsiaTheme="minorEastAsia"/>
          <w:szCs w:val="24"/>
          <w:lang w:val="en-US"/>
        </w:rPr>
        <w:t>Goren, Y., Bunimovitz, S., Finkelstein, I., and Na'Aman, N., 2003, The Location of Alashiya: New Evidence from Petrographic Investigation of AlashiyanTablets from El-Amarna and Ugarit: American Journal of Archaeology, v. 107, p. 233-255.</w:t>
      </w:r>
    </w:p>
    <w:p w14:paraId="42499D6F" w14:textId="77777777" w:rsidR="003317AE" w:rsidRPr="003317AE" w:rsidRDefault="003317AE" w:rsidP="003317AE">
      <w:pPr>
        <w:numPr>
          <w:ilvl w:val="0"/>
          <w:numId w:val="14"/>
        </w:numPr>
        <w:spacing w:after="200" w:line="276" w:lineRule="auto"/>
        <w:contextualSpacing/>
        <w:rPr>
          <w:rFonts w:eastAsiaTheme="minorEastAsia"/>
          <w:szCs w:val="24"/>
          <w:lang w:val="en-US"/>
        </w:rPr>
      </w:pPr>
      <w:r w:rsidRPr="003317AE">
        <w:rPr>
          <w:rFonts w:eastAsiaTheme="minorEastAsia"/>
          <w:szCs w:val="24"/>
          <w:lang w:val="en-US"/>
        </w:rPr>
        <w:t>Goren, Y., Finkelstein, I., and Na’aman, N., 2004, Inscribed in clay: Provenance study of the Amarna tablets and other ancient Near Eastern texts: Tel Aviv University, Sonia and Marco Nadler Institute of Archaeology, Monograph Series Number 23, 407 p.</w:t>
      </w:r>
    </w:p>
    <w:p w14:paraId="1D2993A0" w14:textId="77777777" w:rsidR="003317AE" w:rsidRPr="003317AE" w:rsidRDefault="003317AE" w:rsidP="003317AE">
      <w:pPr>
        <w:numPr>
          <w:ilvl w:val="0"/>
          <w:numId w:val="14"/>
        </w:numPr>
        <w:spacing w:after="200" w:line="276" w:lineRule="auto"/>
        <w:contextualSpacing/>
        <w:rPr>
          <w:rFonts w:eastAsiaTheme="minorEastAsia"/>
          <w:szCs w:val="24"/>
          <w:lang w:val="en-US"/>
        </w:rPr>
      </w:pPr>
      <w:r w:rsidRPr="003317AE">
        <w:rPr>
          <w:rFonts w:eastAsiaTheme="minorEastAsia"/>
          <w:szCs w:val="24"/>
          <w:lang w:val="en-US"/>
        </w:rPr>
        <w:lastRenderedPageBreak/>
        <w:t>Goren, Y., Mommsenb, H., and Klinger, J., 2011, Non-destructive provenance study of cuneiform tablets using portable X-ray fluorescence (pXRF): Journal of Archaeological Science, v. 38, p. 684-696.</w:t>
      </w:r>
    </w:p>
    <w:p w14:paraId="5F1134F8" w14:textId="77777777" w:rsidR="003317AE" w:rsidRPr="003317AE" w:rsidRDefault="003317AE" w:rsidP="003317AE">
      <w:pPr>
        <w:numPr>
          <w:ilvl w:val="0"/>
          <w:numId w:val="14"/>
        </w:numPr>
        <w:spacing w:after="200" w:line="276" w:lineRule="auto"/>
        <w:contextualSpacing/>
        <w:rPr>
          <w:rFonts w:eastAsiaTheme="minorEastAsia"/>
          <w:szCs w:val="24"/>
          <w:lang w:val="en-US"/>
        </w:rPr>
      </w:pPr>
      <w:r w:rsidRPr="003317AE">
        <w:rPr>
          <w:rFonts w:eastAsiaTheme="minorEastAsia"/>
          <w:szCs w:val="24"/>
          <w:lang w:val="en-US"/>
        </w:rPr>
        <w:t xml:space="preserve">Howard, J.L., 1993, The statistics of counting clasts in rudites: a review, with examples from the upper Palaeogene of southern California, USA: Sedimentology, v. 40, p. 157-174. </w:t>
      </w:r>
      <w:hyperlink r:id="rId23" w:history="1">
        <w:r w:rsidRPr="003317AE">
          <w:rPr>
            <w:rFonts w:eastAsiaTheme="minorEastAsia"/>
            <w:bCs/>
            <w:color w:val="0563C1" w:themeColor="hyperlink"/>
            <w:szCs w:val="24"/>
            <w:u w:val="single"/>
            <w:lang w:val="en-US"/>
          </w:rPr>
          <w:t>https://doi.org/10.1111/j.1365-3091.1993.tb01759.x</w:t>
        </w:r>
      </w:hyperlink>
    </w:p>
    <w:p w14:paraId="3229F1C0" w14:textId="77777777" w:rsidR="003317AE" w:rsidRPr="003317AE" w:rsidRDefault="003317AE" w:rsidP="003317AE">
      <w:pPr>
        <w:numPr>
          <w:ilvl w:val="0"/>
          <w:numId w:val="14"/>
        </w:numPr>
        <w:spacing w:after="200" w:line="276" w:lineRule="auto"/>
        <w:contextualSpacing/>
        <w:rPr>
          <w:rFonts w:eastAsiaTheme="minorEastAsia"/>
          <w:szCs w:val="24"/>
          <w:lang w:val="en-US"/>
        </w:rPr>
      </w:pPr>
      <w:r w:rsidRPr="003317AE">
        <w:rPr>
          <w:rFonts w:eastAsiaTheme="minorEastAsia"/>
          <w:szCs w:val="24"/>
          <w:lang w:val="en-US"/>
        </w:rPr>
        <w:t xml:space="preserve">Hutchison, C.S., 1974, Laboratory handbook of petrographic techniques, John Wiley &amp; Sons, New York, 527 p. </w:t>
      </w:r>
    </w:p>
    <w:p w14:paraId="0E2C1C8F" w14:textId="77777777" w:rsidR="003317AE" w:rsidRPr="003317AE" w:rsidRDefault="003317AE" w:rsidP="003317AE">
      <w:pPr>
        <w:numPr>
          <w:ilvl w:val="0"/>
          <w:numId w:val="14"/>
        </w:numPr>
        <w:spacing w:after="200" w:line="276" w:lineRule="auto"/>
        <w:contextualSpacing/>
        <w:rPr>
          <w:rFonts w:eastAsiaTheme="minorEastAsia"/>
          <w:szCs w:val="24"/>
          <w:lang w:val="en-US"/>
        </w:rPr>
      </w:pPr>
      <w:r w:rsidRPr="003317AE">
        <w:rPr>
          <w:rFonts w:eastAsiaTheme="minorEastAsia"/>
          <w:szCs w:val="24"/>
          <w:lang w:val="en-US"/>
        </w:rPr>
        <w:t>Johnson, C.A., Piatak, N.M., and Miller, M.M., 2017, Barite (Barium), chap. D of Schulz, K.J., DeYoung, J.H., Jr., Seal, R.R., II, and Bradley, D.C., eds., Critical mineral resources of the United States—Economic and environmental geology and prospects for future supply: U.S. Geological Survey Professional Paper 1802, p. D1–D18, https://doi.org/10.3133/pp1802D</w:t>
      </w:r>
    </w:p>
    <w:p w14:paraId="4D504A34" w14:textId="77777777" w:rsidR="003317AE" w:rsidRPr="003317AE" w:rsidRDefault="003317AE" w:rsidP="003317AE">
      <w:pPr>
        <w:numPr>
          <w:ilvl w:val="0"/>
          <w:numId w:val="14"/>
        </w:numPr>
        <w:spacing w:after="200" w:line="276" w:lineRule="auto"/>
        <w:contextualSpacing/>
        <w:rPr>
          <w:rFonts w:eastAsiaTheme="minorEastAsia"/>
          <w:szCs w:val="24"/>
          <w:lang w:val="en-US"/>
        </w:rPr>
      </w:pPr>
      <w:r w:rsidRPr="003317AE">
        <w:rPr>
          <w:rFonts w:eastAsiaTheme="minorEastAsia"/>
          <w:szCs w:val="24"/>
          <w:lang w:val="en-US"/>
        </w:rPr>
        <w:t>Katz, A., Agnon, A., Marco, S., 2009, Earthquake-induced barium anomalies in the Lisan Formation, Dead Sea Rift valley, Israel: Earth and Planetary Science Letters, v. 286, p. 219-229. https://doi.org/10.1016/j.epsl.2009.06.031</w:t>
      </w:r>
    </w:p>
    <w:p w14:paraId="1C3B85D5" w14:textId="77777777" w:rsidR="003317AE" w:rsidRPr="003317AE" w:rsidRDefault="003317AE" w:rsidP="003317AE">
      <w:pPr>
        <w:numPr>
          <w:ilvl w:val="0"/>
          <w:numId w:val="14"/>
        </w:numPr>
        <w:spacing w:after="200" w:line="276" w:lineRule="auto"/>
        <w:contextualSpacing/>
        <w:rPr>
          <w:rFonts w:eastAsiaTheme="minorEastAsia"/>
          <w:szCs w:val="24"/>
          <w:lang w:val="en-US"/>
        </w:rPr>
      </w:pPr>
      <w:r w:rsidRPr="003317AE">
        <w:rPr>
          <w:rFonts w:eastAsiaTheme="minorEastAsia"/>
          <w:szCs w:val="24"/>
          <w:lang w:val="en-US"/>
        </w:rPr>
        <w:t xml:space="preserve">Kerr, P.F., 1977, Optical mineralogy: New York, McGraw-Hill Book Company, 492p. </w:t>
      </w:r>
    </w:p>
    <w:p w14:paraId="328A0729" w14:textId="77777777" w:rsidR="003317AE" w:rsidRPr="003317AE" w:rsidRDefault="003317AE" w:rsidP="003317AE">
      <w:pPr>
        <w:numPr>
          <w:ilvl w:val="0"/>
          <w:numId w:val="14"/>
        </w:numPr>
        <w:spacing w:after="200" w:line="276" w:lineRule="auto"/>
        <w:contextualSpacing/>
        <w:rPr>
          <w:rFonts w:eastAsiaTheme="minorEastAsia"/>
          <w:szCs w:val="24"/>
          <w:lang w:val="en-US"/>
        </w:rPr>
      </w:pPr>
      <w:r w:rsidRPr="003317AE">
        <w:rPr>
          <w:rFonts w:eastAsiaTheme="minorEastAsia"/>
          <w:szCs w:val="24"/>
          <w:lang w:val="en-US"/>
        </w:rPr>
        <w:t xml:space="preserve">King, C., Dupuis, C., Aubry, M-P., Berggren, W.A., Knox, R.O.’B., Galal, W.F., and Baele, J-M., Anatomy of a mountain: The Thebes Limestone Formation (Lower Eocene) at Gebel Gurnah, Luxor, Nile Valley, Upper Egypt: Journal of African Earth Sciences, v. 136, p. 61-108. </w:t>
      </w:r>
      <w:hyperlink r:id="rId24" w:tgtFrame="_blank" w:tooltip="Persistent link using digital object identifier" w:history="1">
        <w:r w:rsidRPr="003317AE">
          <w:rPr>
            <w:rFonts w:eastAsiaTheme="minorEastAsia"/>
            <w:color w:val="0563C1" w:themeColor="hyperlink"/>
            <w:szCs w:val="24"/>
            <w:u w:val="single"/>
            <w:lang w:val="en-US"/>
          </w:rPr>
          <w:t>https://doi.org/10.1016/j.jafrearsci.2017.05.008</w:t>
        </w:r>
      </w:hyperlink>
    </w:p>
    <w:p w14:paraId="74416E02" w14:textId="77777777" w:rsidR="003317AE" w:rsidRPr="003317AE" w:rsidRDefault="003317AE" w:rsidP="003317AE">
      <w:pPr>
        <w:numPr>
          <w:ilvl w:val="0"/>
          <w:numId w:val="14"/>
        </w:numPr>
        <w:spacing w:after="200" w:line="276" w:lineRule="auto"/>
        <w:contextualSpacing/>
        <w:rPr>
          <w:rFonts w:eastAsiaTheme="minorEastAsia"/>
          <w:szCs w:val="24"/>
          <w:lang w:val="en-US"/>
        </w:rPr>
      </w:pPr>
      <w:r w:rsidRPr="003317AE">
        <w:rPr>
          <w:rFonts w:eastAsiaTheme="minorEastAsia"/>
          <w:szCs w:val="24"/>
          <w:lang w:val="en-US"/>
        </w:rPr>
        <w:t xml:space="preserve">Koç, S., Sarı, A., and Çimen, A., Major and rare earth element contents in sedimentary rocks of the Haymana formation, Ankara, Turkey: Energy sources, Part A: Recovery, utilization, and environmental effects, v. 38, p. 1918-1928. </w:t>
      </w:r>
      <w:hyperlink r:id="rId25" w:history="1">
        <w:r w:rsidRPr="003317AE">
          <w:rPr>
            <w:rFonts w:eastAsiaTheme="minorEastAsia"/>
            <w:color w:val="0563C1" w:themeColor="hyperlink"/>
            <w:szCs w:val="24"/>
            <w:u w:val="single"/>
            <w:lang w:val="en-US"/>
          </w:rPr>
          <w:t>https://doi.org/10.1080/15567036.2014.967418</w:t>
        </w:r>
      </w:hyperlink>
      <w:r w:rsidRPr="003317AE">
        <w:rPr>
          <w:rFonts w:asciiTheme="minorHAnsi" w:eastAsiaTheme="minorHAnsi" w:hAnsiTheme="minorHAnsi" w:cstheme="minorBidi"/>
          <w:sz w:val="22"/>
          <w:lang w:val="en-US"/>
        </w:rPr>
        <w:t xml:space="preserve"> </w:t>
      </w:r>
    </w:p>
    <w:p w14:paraId="0D2632D3" w14:textId="77777777" w:rsidR="003317AE" w:rsidRPr="003317AE" w:rsidRDefault="003317AE" w:rsidP="003317AE">
      <w:pPr>
        <w:numPr>
          <w:ilvl w:val="0"/>
          <w:numId w:val="14"/>
        </w:numPr>
        <w:spacing w:after="200" w:line="276" w:lineRule="auto"/>
        <w:contextualSpacing/>
        <w:rPr>
          <w:rFonts w:eastAsiaTheme="minorEastAsia"/>
          <w:szCs w:val="24"/>
          <w:lang w:val="en-US"/>
        </w:rPr>
      </w:pPr>
      <w:r w:rsidRPr="003317AE">
        <w:rPr>
          <w:rFonts w:eastAsiaTheme="minorEastAsia"/>
          <w:szCs w:val="24"/>
          <w:lang w:val="en-US"/>
        </w:rPr>
        <w:lastRenderedPageBreak/>
        <w:t>Kuss, J., Bassiouni, A., Bauer, J., Bachmann, M., Marzouk, A., Scheibner, C., and Schulze, F., 2003, Cretaceous — Paleogene Sequence Stratigraphy of the Levant Platform (Egypt, Sinai, Jordan). In: Gili E., El Hédi Negra M., Skelton P.W. (eds) North African Cretaceous Carbonate Platform Systems. NATO Science Series (Series IV: Earth and Environmental Sciences), vol 28. Springer, Dordrecht, 264p. https://doi.org/10.1007/978-94-010-0015-4_10</w:t>
      </w:r>
    </w:p>
    <w:p w14:paraId="0D7871F1" w14:textId="77777777" w:rsidR="003317AE" w:rsidRPr="003317AE" w:rsidRDefault="003317AE" w:rsidP="003317AE">
      <w:pPr>
        <w:numPr>
          <w:ilvl w:val="0"/>
          <w:numId w:val="14"/>
        </w:numPr>
        <w:spacing w:after="200" w:line="276" w:lineRule="auto"/>
        <w:contextualSpacing/>
        <w:rPr>
          <w:rFonts w:asciiTheme="minorHAnsi" w:eastAsiaTheme="minorHAnsi" w:hAnsiTheme="minorHAnsi" w:cstheme="minorBidi"/>
          <w:sz w:val="22"/>
          <w:lang w:val="en-US"/>
        </w:rPr>
      </w:pPr>
      <w:r w:rsidRPr="003317AE">
        <w:rPr>
          <w:rFonts w:eastAsiaTheme="minorHAnsi"/>
          <w:szCs w:val="24"/>
          <w:lang w:val="en-US"/>
        </w:rPr>
        <w:t xml:space="preserve">Los Alamos National Laboratory, 1990, Procedure for determination of volume constituents in thin sections of rocks: Procedure No. TW9-rqq-rjP-Tn2. 142, 8p. </w:t>
      </w:r>
      <w:hyperlink r:id="rId26" w:history="1">
        <w:r w:rsidRPr="003317AE">
          <w:rPr>
            <w:rFonts w:eastAsiaTheme="minorEastAsia"/>
            <w:color w:val="0563C1" w:themeColor="hyperlink"/>
            <w:szCs w:val="24"/>
            <w:u w:val="single"/>
            <w:lang w:val="en-US"/>
          </w:rPr>
          <w:t>https://www.nrc.gov/docs/ML0317/ML031760791.pdf</w:t>
        </w:r>
      </w:hyperlink>
      <w:r w:rsidRPr="003317AE">
        <w:rPr>
          <w:rFonts w:eastAsiaTheme="minorHAnsi"/>
          <w:szCs w:val="24"/>
          <w:lang w:val="en-US"/>
        </w:rPr>
        <w:t xml:space="preserve"> </w:t>
      </w:r>
      <w:r w:rsidRPr="003317AE">
        <w:rPr>
          <w:rFonts w:eastAsiaTheme="minorHAnsi"/>
          <w:iCs/>
          <w:szCs w:val="24"/>
          <w:lang w:val="en-US"/>
        </w:rPr>
        <w:t>(Accessed 3/26/2019)</w:t>
      </w:r>
    </w:p>
    <w:p w14:paraId="60B7E13F" w14:textId="77777777" w:rsidR="003317AE" w:rsidRPr="003317AE" w:rsidRDefault="003317AE" w:rsidP="003317AE">
      <w:pPr>
        <w:numPr>
          <w:ilvl w:val="0"/>
          <w:numId w:val="14"/>
        </w:numPr>
        <w:spacing w:after="200" w:line="276" w:lineRule="auto"/>
        <w:contextualSpacing/>
        <w:rPr>
          <w:rFonts w:eastAsiaTheme="minorEastAsia"/>
          <w:szCs w:val="24"/>
          <w:lang w:val="en-US"/>
        </w:rPr>
      </w:pPr>
      <w:r w:rsidRPr="003317AE">
        <w:rPr>
          <w:rFonts w:eastAsiaTheme="minorEastAsia"/>
          <w:szCs w:val="24"/>
          <w:lang w:val="en-US"/>
        </w:rPr>
        <w:t xml:space="preserve">Master, D.M., 2018, Petrographic analysis, </w:t>
      </w:r>
      <w:r w:rsidRPr="003317AE">
        <w:rPr>
          <w:rFonts w:eastAsiaTheme="minorEastAsia"/>
          <w:i/>
          <w:szCs w:val="24"/>
          <w:lang w:val="en-US"/>
        </w:rPr>
        <w:t>in</w:t>
      </w:r>
      <w:r w:rsidRPr="003317AE">
        <w:rPr>
          <w:rFonts w:eastAsiaTheme="minorEastAsia"/>
          <w:szCs w:val="24"/>
          <w:lang w:val="en-US"/>
        </w:rPr>
        <w:t xml:space="preserve"> Stager, L.E., Schloen, J.D., and Voss, R.J., Ashkelon 6: The Middle Bronze Age Ramparts and Gates of the North Slope and Later Fortifications: University Park, Pennsylvania, Eisenbrauns, 656p. ISBN: 978-1-57506-980-7</w:t>
      </w:r>
    </w:p>
    <w:p w14:paraId="09491EA8" w14:textId="77777777" w:rsidR="003317AE" w:rsidRPr="003317AE" w:rsidRDefault="003317AE" w:rsidP="003317AE">
      <w:pPr>
        <w:numPr>
          <w:ilvl w:val="0"/>
          <w:numId w:val="14"/>
        </w:numPr>
        <w:spacing w:after="200" w:line="276" w:lineRule="auto"/>
        <w:contextualSpacing/>
        <w:rPr>
          <w:rFonts w:eastAsiaTheme="minorEastAsia"/>
          <w:szCs w:val="24"/>
          <w:lang w:val="en-US"/>
        </w:rPr>
      </w:pPr>
      <w:r w:rsidRPr="003317AE">
        <w:rPr>
          <w:rFonts w:eastAsiaTheme="minorEastAsia"/>
          <w:szCs w:val="24"/>
          <w:lang w:val="en-US"/>
        </w:rPr>
        <w:t xml:space="preserve">Michigan State University, Department of Earth and Environmental Sciences, 2019: </w:t>
      </w:r>
      <w:hyperlink r:id="rId27" w:history="1">
        <w:r w:rsidRPr="003317AE">
          <w:rPr>
            <w:rFonts w:eastAsiaTheme="minorEastAsia"/>
            <w:color w:val="0563C1" w:themeColor="hyperlink"/>
            <w:szCs w:val="24"/>
            <w:u w:val="single"/>
            <w:lang w:val="en-US"/>
          </w:rPr>
          <w:t>https://ees.natsci.msu.edu/about/facilities/icp-ms-laboratory/</w:t>
        </w:r>
      </w:hyperlink>
      <w:r w:rsidRPr="003317AE">
        <w:rPr>
          <w:rFonts w:eastAsiaTheme="minorEastAsia"/>
          <w:szCs w:val="24"/>
          <w:lang w:val="en-US"/>
        </w:rPr>
        <w:t xml:space="preserve"> </w:t>
      </w:r>
      <w:r w:rsidRPr="003317AE">
        <w:rPr>
          <w:rFonts w:eastAsiaTheme="minorEastAsia"/>
          <w:iCs/>
          <w:szCs w:val="24"/>
          <w:lang w:val="en-US"/>
        </w:rPr>
        <w:t>(Accessed 3/25/2019)</w:t>
      </w:r>
    </w:p>
    <w:p w14:paraId="5529D4AB" w14:textId="77777777" w:rsidR="003317AE" w:rsidRPr="003317AE" w:rsidRDefault="003317AE" w:rsidP="003317AE">
      <w:pPr>
        <w:numPr>
          <w:ilvl w:val="0"/>
          <w:numId w:val="14"/>
        </w:numPr>
        <w:spacing w:after="200" w:line="276" w:lineRule="auto"/>
        <w:contextualSpacing/>
        <w:rPr>
          <w:rFonts w:eastAsiaTheme="minorEastAsia"/>
          <w:szCs w:val="24"/>
          <w:lang w:val="en-US"/>
        </w:rPr>
      </w:pPr>
      <w:r w:rsidRPr="003317AE">
        <w:rPr>
          <w:rFonts w:eastAsiaTheme="minorEastAsia"/>
          <w:szCs w:val="24"/>
          <w:lang w:val="en-US"/>
        </w:rPr>
        <w:t>Neilson, M.J., and Brockman, G.F., 1977, The error associated with point-counting: American Mineralogist, v. 62, p. 1238-1244.</w:t>
      </w:r>
    </w:p>
    <w:p w14:paraId="40D08275" w14:textId="77777777" w:rsidR="003317AE" w:rsidRPr="003317AE" w:rsidRDefault="003317AE" w:rsidP="003317AE">
      <w:pPr>
        <w:numPr>
          <w:ilvl w:val="0"/>
          <w:numId w:val="14"/>
        </w:numPr>
        <w:spacing w:after="200" w:line="276" w:lineRule="auto"/>
        <w:contextualSpacing/>
        <w:rPr>
          <w:rFonts w:eastAsiaTheme="minorEastAsia"/>
          <w:szCs w:val="24"/>
          <w:lang w:val="en-US"/>
        </w:rPr>
      </w:pPr>
      <w:r w:rsidRPr="003317AE">
        <w:rPr>
          <w:rFonts w:eastAsiaTheme="minorEastAsia"/>
          <w:szCs w:val="24"/>
          <w:lang w:val="en-US"/>
        </w:rPr>
        <w:t>Obaidalla, N.A., El Dawy, M.H., Mahfouz, K.H., and Abdel-Wahed, S.A., 2015, Stratigraphy of the Paleocene-Eocene Succession At Darb Gaga Area, Baris Oasis, Western Desert, Egypt: Eighth International Conferenceon The Geology Of Africa P-P (Nov. 2015) Assiut-Egypt, p.VII-77-VII-97.</w:t>
      </w:r>
    </w:p>
    <w:p w14:paraId="1A299048" w14:textId="77777777" w:rsidR="003317AE" w:rsidRPr="003317AE" w:rsidRDefault="003317AE" w:rsidP="003317AE">
      <w:pPr>
        <w:numPr>
          <w:ilvl w:val="0"/>
          <w:numId w:val="14"/>
        </w:numPr>
        <w:spacing w:after="200" w:line="276" w:lineRule="auto"/>
        <w:contextualSpacing/>
        <w:rPr>
          <w:rFonts w:eastAsiaTheme="minorEastAsia"/>
          <w:szCs w:val="24"/>
          <w:lang w:val="en-US"/>
        </w:rPr>
      </w:pPr>
      <w:r w:rsidRPr="003317AE">
        <w:rPr>
          <w:rFonts w:eastAsiaTheme="minorEastAsia"/>
          <w:szCs w:val="24"/>
          <w:lang w:val="en-US"/>
        </w:rPr>
        <w:t>Poole, A.D. and Sims, I., 2016, Concrete Petrography: A Handbook of Investigative Techniques, Second Edition: Boca Raton, CRC Press, 754 p. ISBN: 13:978-1-4665-8382-5 (e-book – PDF)</w:t>
      </w:r>
    </w:p>
    <w:p w14:paraId="4790E276" w14:textId="77777777" w:rsidR="003317AE" w:rsidRPr="003317AE" w:rsidRDefault="003317AE" w:rsidP="003317AE">
      <w:pPr>
        <w:numPr>
          <w:ilvl w:val="0"/>
          <w:numId w:val="14"/>
        </w:numPr>
        <w:spacing w:after="200" w:line="276" w:lineRule="auto"/>
        <w:contextualSpacing/>
        <w:rPr>
          <w:rFonts w:eastAsiaTheme="minorEastAsia"/>
          <w:szCs w:val="24"/>
          <w:lang w:val="en-US"/>
        </w:rPr>
      </w:pPr>
      <w:r w:rsidRPr="003317AE">
        <w:rPr>
          <w:rFonts w:eastAsiaTheme="minorEastAsia"/>
          <w:szCs w:val="24"/>
          <w:lang w:val="en-US"/>
        </w:rPr>
        <w:t xml:space="preserve">Porat, N., and Goren, Y., 2002, Petrography of the Naqada IIIa Canaanite pottery from Tomb U-j in Abydos, </w:t>
      </w:r>
      <w:r w:rsidRPr="003317AE">
        <w:rPr>
          <w:rFonts w:eastAsiaTheme="minorEastAsia"/>
          <w:i/>
          <w:szCs w:val="24"/>
          <w:lang w:val="en-US"/>
        </w:rPr>
        <w:t>in</w:t>
      </w:r>
      <w:r w:rsidRPr="003317AE">
        <w:rPr>
          <w:rFonts w:eastAsiaTheme="minorEastAsia"/>
          <w:szCs w:val="24"/>
          <w:lang w:val="en-US"/>
        </w:rPr>
        <w:t xml:space="preserve"> Levy, T., and van den Brink, </w:t>
      </w:r>
      <w:r w:rsidRPr="003317AE">
        <w:rPr>
          <w:rFonts w:eastAsiaTheme="minorEastAsia"/>
          <w:szCs w:val="24"/>
          <w:lang w:val="en-US"/>
        </w:rPr>
        <w:lastRenderedPageBreak/>
        <w:t>E.C.M., eds., Egypt and the Levant: interrelations from the 4th through the early 3rd millennium BCE: Leicester University Press, p. 466-481.</w:t>
      </w:r>
    </w:p>
    <w:p w14:paraId="1C4CAD93" w14:textId="77777777" w:rsidR="003317AE" w:rsidRPr="003317AE" w:rsidRDefault="003317AE" w:rsidP="003317AE">
      <w:pPr>
        <w:numPr>
          <w:ilvl w:val="0"/>
          <w:numId w:val="14"/>
        </w:numPr>
        <w:spacing w:after="200" w:line="276" w:lineRule="auto"/>
        <w:contextualSpacing/>
        <w:rPr>
          <w:rFonts w:eastAsiaTheme="minorEastAsia"/>
          <w:szCs w:val="24"/>
          <w:lang w:val="en-US"/>
        </w:rPr>
      </w:pPr>
      <w:r w:rsidRPr="003317AE">
        <w:rPr>
          <w:rFonts w:eastAsiaTheme="minorEastAsia"/>
          <w:szCs w:val="24"/>
          <w:lang w:val="en-US"/>
        </w:rPr>
        <w:t xml:space="preserve">Randive, K., Kumar, J.V., Bhondwe, A., and Lanjewar, S., 2014, Understanding the behaviour of rare earth elements in minerals and rocks: Gondwana Geological Magazine, v. 29, p. 29-37. </w:t>
      </w:r>
      <w:hyperlink r:id="rId28" w:history="1">
        <w:r w:rsidRPr="003317AE">
          <w:rPr>
            <w:rFonts w:eastAsiaTheme="minorEastAsia"/>
            <w:color w:val="0563C1" w:themeColor="hyperlink"/>
            <w:szCs w:val="24"/>
            <w:u w:val="single"/>
            <w:lang w:val="en-US"/>
          </w:rPr>
          <w:t>https://www.researchgate.net/publication/275337571_Understanding_the_Behaviour_of_Rare_Earth_Elements_in_Minerals_and_Rocks</w:t>
        </w:r>
      </w:hyperlink>
      <w:r w:rsidRPr="003317AE">
        <w:rPr>
          <w:rFonts w:eastAsiaTheme="minorEastAsia"/>
          <w:szCs w:val="24"/>
          <w:lang w:val="en-US"/>
        </w:rPr>
        <w:t xml:space="preserve"> </w:t>
      </w:r>
    </w:p>
    <w:p w14:paraId="44AB98AC" w14:textId="77777777" w:rsidR="003317AE" w:rsidRPr="003317AE" w:rsidRDefault="003317AE" w:rsidP="003317AE">
      <w:pPr>
        <w:numPr>
          <w:ilvl w:val="0"/>
          <w:numId w:val="14"/>
        </w:numPr>
        <w:spacing w:after="200" w:line="276" w:lineRule="auto"/>
        <w:contextualSpacing/>
        <w:rPr>
          <w:rFonts w:eastAsiaTheme="minorEastAsia"/>
          <w:szCs w:val="24"/>
          <w:lang w:val="en-US"/>
        </w:rPr>
      </w:pPr>
      <w:r w:rsidRPr="003317AE">
        <w:rPr>
          <w:rFonts w:eastAsiaTheme="minorEastAsia"/>
          <w:szCs w:val="24"/>
          <w:lang w:val="en-US"/>
        </w:rPr>
        <w:t>Robertson, A.H.F., 1977, The Moni Mélange, Cyprus: An olistostrome formed at a destructive plate margin: Journal of the Geological Society, v. 133, p. 447-466. DOI:10.1144/gsjgs.133.5.0447</w:t>
      </w:r>
    </w:p>
    <w:p w14:paraId="060CE823" w14:textId="77777777" w:rsidR="003317AE" w:rsidRPr="003317AE" w:rsidRDefault="003317AE" w:rsidP="003317AE">
      <w:pPr>
        <w:numPr>
          <w:ilvl w:val="0"/>
          <w:numId w:val="14"/>
        </w:numPr>
        <w:spacing w:after="200" w:line="276" w:lineRule="auto"/>
        <w:contextualSpacing/>
        <w:rPr>
          <w:rFonts w:eastAsiaTheme="minorEastAsia"/>
          <w:szCs w:val="24"/>
          <w:lang w:val="en-US"/>
        </w:rPr>
      </w:pPr>
      <w:r w:rsidRPr="003317AE">
        <w:rPr>
          <w:rFonts w:eastAsiaTheme="minorEastAsia"/>
          <w:szCs w:val="24"/>
          <w:lang w:val="en-US"/>
        </w:rPr>
        <w:t>Sallam, E., Wanas, H.A., and Osman, R., 2015, Stratigraphy, facies analysis and sequence stratigraphy of the Eocene succession in the Shabrawet area (north Eastern Desert, Egypt): an example for a tectonically influenced inner ramp carbonate platform: Arabian Journal of Geosciences, 28p. https://doi.org/10.1007/s12517-015-1969-2</w:t>
      </w:r>
    </w:p>
    <w:p w14:paraId="38323E8A" w14:textId="77777777" w:rsidR="003317AE" w:rsidRPr="003317AE" w:rsidRDefault="003317AE" w:rsidP="003317AE">
      <w:pPr>
        <w:numPr>
          <w:ilvl w:val="0"/>
          <w:numId w:val="14"/>
        </w:numPr>
        <w:spacing w:after="200" w:line="276" w:lineRule="auto"/>
        <w:contextualSpacing/>
        <w:rPr>
          <w:rFonts w:eastAsiaTheme="minorEastAsia"/>
          <w:szCs w:val="24"/>
          <w:lang w:val="en-US"/>
        </w:rPr>
      </w:pPr>
      <w:r w:rsidRPr="003317AE">
        <w:rPr>
          <w:rFonts w:eastAsiaTheme="minorEastAsia"/>
          <w:iCs/>
          <w:szCs w:val="24"/>
          <w:lang w:val="en-US"/>
        </w:rPr>
        <w:t xml:space="preserve">Sandström, H., Reeder, S., Bartha, A., Birke, M., Berge, F., Davidsen, B., Grimstvedt, A., Hagel-Brunnström, M-L., Kantor, W., Kallio, E., Klaver, G., Lucivjansky, P., Mackovych, D., Mjartanova, H., van Os, B., Paslawski, P., Popiolek, E., Siewers, U. Varga-Barna, Zs., van Vilsteren, E., and Ødegård, M., undated, Sample preparation and analysis, </w:t>
      </w:r>
      <w:r w:rsidRPr="003317AE">
        <w:rPr>
          <w:rFonts w:eastAsiaTheme="minorEastAsia"/>
          <w:i/>
          <w:iCs/>
          <w:szCs w:val="24"/>
          <w:lang w:val="en-US"/>
        </w:rPr>
        <w:t>in</w:t>
      </w:r>
      <w:r w:rsidRPr="003317AE">
        <w:rPr>
          <w:rFonts w:eastAsiaTheme="minorEastAsia"/>
          <w:iCs/>
          <w:szCs w:val="24"/>
          <w:lang w:val="en-US"/>
        </w:rPr>
        <w:t xml:space="preserve"> Salimenen, L., ed., Geochemical atlas of Europe: Part 1, Background information, methodology and maps. ISBN 951-690-913-2 (electronic version) </w:t>
      </w:r>
      <w:hyperlink r:id="rId29" w:history="1">
        <w:r w:rsidRPr="003317AE">
          <w:rPr>
            <w:rFonts w:eastAsiaTheme="minorEastAsia"/>
            <w:iCs/>
            <w:color w:val="0563C1" w:themeColor="hyperlink"/>
            <w:szCs w:val="24"/>
            <w:u w:val="single"/>
            <w:lang w:val="en-US"/>
          </w:rPr>
          <w:t>http://weppi.gtk.fi/publ/foregsatlas/article.php?id=3</w:t>
        </w:r>
      </w:hyperlink>
      <w:r w:rsidRPr="003317AE">
        <w:rPr>
          <w:rFonts w:eastAsiaTheme="minorEastAsia"/>
          <w:iCs/>
          <w:szCs w:val="24"/>
          <w:lang w:val="en-US"/>
        </w:rPr>
        <w:t xml:space="preserve"> (Accessed 3/25/2019)</w:t>
      </w:r>
    </w:p>
    <w:p w14:paraId="7A95F3F8" w14:textId="77777777" w:rsidR="003317AE" w:rsidRPr="003317AE" w:rsidRDefault="003317AE" w:rsidP="003317AE">
      <w:pPr>
        <w:numPr>
          <w:ilvl w:val="0"/>
          <w:numId w:val="14"/>
        </w:numPr>
        <w:spacing w:after="0" w:line="240" w:lineRule="auto"/>
        <w:contextualSpacing/>
        <w:rPr>
          <w:rFonts w:eastAsiaTheme="minorHAnsi"/>
          <w:lang w:val="en-US"/>
        </w:rPr>
      </w:pPr>
      <w:r w:rsidRPr="003317AE">
        <w:rPr>
          <w:rFonts w:eastAsiaTheme="minorHAnsi"/>
          <w:lang w:val="en-US"/>
        </w:rPr>
        <w:t xml:space="preserve">Sass, E., and Bein, A., 1982, The Cretaceous carbonate platform in Israel: Cretaceous Research, v. 3, p. 135-144. </w:t>
      </w:r>
      <w:hyperlink r:id="rId30" w:tgtFrame="_blank" w:tooltip="Persistent link using digital object identifier" w:history="1">
        <w:r w:rsidRPr="003317AE">
          <w:rPr>
            <w:rFonts w:eastAsiaTheme="minorHAnsi"/>
            <w:color w:val="0563C1" w:themeColor="hyperlink"/>
            <w:u w:val="single"/>
            <w:lang w:val="en-US"/>
          </w:rPr>
          <w:t>https://doi.org/10.1016/0195-6671(82)90014-3</w:t>
        </w:r>
      </w:hyperlink>
    </w:p>
    <w:p w14:paraId="65BD6801" w14:textId="77777777" w:rsidR="003317AE" w:rsidRPr="003317AE" w:rsidRDefault="003317AE" w:rsidP="003317AE">
      <w:pPr>
        <w:spacing w:after="0" w:line="240" w:lineRule="auto"/>
        <w:rPr>
          <w:rFonts w:eastAsiaTheme="minorHAnsi"/>
          <w:lang w:val="en-US"/>
        </w:rPr>
      </w:pPr>
    </w:p>
    <w:p w14:paraId="2E4BD265" w14:textId="77777777" w:rsidR="003317AE" w:rsidRPr="003317AE" w:rsidRDefault="003317AE" w:rsidP="003317AE">
      <w:pPr>
        <w:numPr>
          <w:ilvl w:val="0"/>
          <w:numId w:val="14"/>
        </w:numPr>
        <w:spacing w:after="0" w:line="240" w:lineRule="auto"/>
        <w:contextualSpacing/>
        <w:rPr>
          <w:rFonts w:eastAsiaTheme="minorHAnsi"/>
          <w:lang w:val="en-US"/>
        </w:rPr>
      </w:pPr>
      <w:r w:rsidRPr="003317AE">
        <w:rPr>
          <w:rFonts w:eastAsiaTheme="minorHAnsi"/>
          <w:lang w:val="en-US"/>
        </w:rPr>
        <w:t>Scarpa, D., 1990, The geology of the Cremisan Valley, Beit Jala: Bethlehem University Journal, v. 9, p. 7-31.</w:t>
      </w:r>
    </w:p>
    <w:p w14:paraId="2DD332FA" w14:textId="77777777" w:rsidR="003317AE" w:rsidRPr="003317AE" w:rsidRDefault="003317AE" w:rsidP="003317AE">
      <w:pPr>
        <w:spacing w:after="0" w:line="240" w:lineRule="auto"/>
        <w:rPr>
          <w:rFonts w:eastAsiaTheme="minorHAnsi"/>
          <w:lang w:val="en-US"/>
        </w:rPr>
      </w:pPr>
    </w:p>
    <w:p w14:paraId="1A5762D6" w14:textId="77777777" w:rsidR="003317AE" w:rsidRPr="003317AE" w:rsidRDefault="003317AE" w:rsidP="003317AE">
      <w:pPr>
        <w:numPr>
          <w:ilvl w:val="0"/>
          <w:numId w:val="14"/>
        </w:numPr>
        <w:spacing w:after="0" w:line="240" w:lineRule="auto"/>
        <w:contextualSpacing/>
        <w:rPr>
          <w:rFonts w:eastAsiaTheme="minorHAnsi"/>
          <w:lang w:val="en-US"/>
        </w:rPr>
      </w:pPr>
      <w:r w:rsidRPr="003317AE">
        <w:rPr>
          <w:rFonts w:eastAsiaTheme="minorHAnsi"/>
          <w:lang w:val="en-US"/>
        </w:rPr>
        <w:t>Scotese, C.R., 2001, Atlas of earth history, Volume 1, Paleogeography, PALEOMAP Project, Arlington, Texas, 58 p. ISBN: 0-9700020-0-9</w:t>
      </w:r>
    </w:p>
    <w:p w14:paraId="25776032" w14:textId="77777777" w:rsidR="003317AE" w:rsidRPr="003317AE" w:rsidRDefault="003317AE" w:rsidP="003317AE">
      <w:pPr>
        <w:spacing w:after="0" w:line="240" w:lineRule="auto"/>
        <w:rPr>
          <w:rFonts w:eastAsiaTheme="minorHAnsi"/>
          <w:lang w:val="en-US"/>
        </w:rPr>
      </w:pPr>
    </w:p>
    <w:p w14:paraId="6FB21755" w14:textId="77777777" w:rsidR="003317AE" w:rsidRPr="003317AE" w:rsidRDefault="003317AE" w:rsidP="003317AE">
      <w:pPr>
        <w:numPr>
          <w:ilvl w:val="0"/>
          <w:numId w:val="14"/>
        </w:numPr>
        <w:spacing w:after="0" w:line="240" w:lineRule="auto"/>
        <w:contextualSpacing/>
        <w:rPr>
          <w:rFonts w:eastAsiaTheme="minorHAnsi"/>
          <w:lang w:val="en-US"/>
        </w:rPr>
      </w:pPr>
      <w:r w:rsidRPr="003317AE">
        <w:rPr>
          <w:rFonts w:eastAsiaTheme="minorHAnsi"/>
          <w:lang w:val="en-US"/>
        </w:rPr>
        <w:t xml:space="preserve">Scotese, C.R., 2014, Atlas of Paleogene Paleogeographic Maps (Mollweide Projection), Maps 8-15, Volume 1, The Cenozoic, PALEOMAP Atlas for ArcGIS, PALEOMAP Project, Evanston, IL. </w:t>
      </w:r>
      <w:r w:rsidRPr="003317AE">
        <w:rPr>
          <w:rFonts w:eastAsiaTheme="minorEastAsia"/>
          <w:szCs w:val="24"/>
          <w:lang w:val="en-US"/>
        </w:rPr>
        <w:t>https://doi.org/</w:t>
      </w:r>
      <w:r w:rsidRPr="003317AE">
        <w:rPr>
          <w:rFonts w:eastAsiaTheme="minorHAnsi"/>
          <w:lang w:val="en-US"/>
        </w:rPr>
        <w:t>10.13140/2.1.3417.6961</w:t>
      </w:r>
    </w:p>
    <w:p w14:paraId="1E36086C" w14:textId="77777777" w:rsidR="003317AE" w:rsidRPr="003317AE" w:rsidRDefault="003317AE" w:rsidP="003317AE">
      <w:pPr>
        <w:spacing w:after="0" w:line="240" w:lineRule="auto"/>
        <w:rPr>
          <w:rFonts w:eastAsiaTheme="minorHAnsi"/>
          <w:lang w:val="en-US"/>
        </w:rPr>
      </w:pPr>
    </w:p>
    <w:p w14:paraId="19EDEA7B" w14:textId="77777777" w:rsidR="003317AE" w:rsidRPr="003317AE" w:rsidRDefault="003317AE" w:rsidP="003317AE">
      <w:pPr>
        <w:numPr>
          <w:ilvl w:val="0"/>
          <w:numId w:val="14"/>
        </w:numPr>
        <w:spacing w:after="200" w:line="276" w:lineRule="auto"/>
        <w:contextualSpacing/>
        <w:rPr>
          <w:rFonts w:eastAsiaTheme="minorEastAsia"/>
          <w:szCs w:val="24"/>
          <w:lang w:val="en-US"/>
        </w:rPr>
      </w:pPr>
      <w:r w:rsidRPr="003317AE">
        <w:rPr>
          <w:rFonts w:eastAsiaTheme="minorEastAsia"/>
          <w:szCs w:val="24"/>
          <w:lang w:val="en-US"/>
        </w:rPr>
        <w:t>Schreier, C.M., 1988, Geochemie und Mineralogie oberkretazischer und alttertiärer Pelite der östlichen Wüste Ägyptens und ihre geologische Interpretation: Berlin. Reimer Berliner Geowissenschaftliche Abhandlungen v. 97A, 124p.</w:t>
      </w:r>
    </w:p>
    <w:p w14:paraId="574942F4" w14:textId="77777777" w:rsidR="003317AE" w:rsidRPr="003317AE" w:rsidRDefault="003317AE" w:rsidP="003317AE">
      <w:pPr>
        <w:numPr>
          <w:ilvl w:val="0"/>
          <w:numId w:val="14"/>
        </w:numPr>
        <w:spacing w:after="200" w:line="276" w:lineRule="auto"/>
        <w:contextualSpacing/>
        <w:rPr>
          <w:rFonts w:eastAsiaTheme="minorEastAsia"/>
          <w:szCs w:val="24"/>
          <w:lang w:val="en-US"/>
        </w:rPr>
      </w:pPr>
      <w:r w:rsidRPr="003317AE">
        <w:rPr>
          <w:rFonts w:eastAsiaTheme="minorEastAsia"/>
          <w:szCs w:val="24"/>
          <w:lang w:val="en-US"/>
        </w:rPr>
        <w:t>Stanienda-Pilecki, K., 2016, Strontium and barium in the Triassic limestone of the Opole Silesia Deposits: Arch. Min. Sci., v. 61, p. 29–46. https://doi.org/10.1515/amsc-2016-0003</w:t>
      </w:r>
    </w:p>
    <w:p w14:paraId="309A756A" w14:textId="77777777" w:rsidR="003317AE" w:rsidRPr="003317AE" w:rsidRDefault="003317AE" w:rsidP="003317AE">
      <w:pPr>
        <w:numPr>
          <w:ilvl w:val="0"/>
          <w:numId w:val="14"/>
        </w:numPr>
        <w:spacing w:after="200" w:line="276" w:lineRule="auto"/>
        <w:contextualSpacing/>
        <w:rPr>
          <w:rFonts w:eastAsiaTheme="minorEastAsia"/>
          <w:szCs w:val="24"/>
          <w:lang w:val="en-US"/>
        </w:rPr>
      </w:pPr>
      <w:r w:rsidRPr="003317AE">
        <w:rPr>
          <w:rFonts w:eastAsiaTheme="minorEastAsia"/>
          <w:szCs w:val="24"/>
          <w:lang w:val="en-US"/>
        </w:rPr>
        <w:t xml:space="preserve">Temple, J.T., and Walsh, J.N., 1994, Use of element-mineral correlations to investigate fractionation of rare earth elements in fine-grained sediments: Mineralogical Magazine, v. 58, p. 533-541. </w:t>
      </w:r>
      <w:hyperlink r:id="rId31" w:tgtFrame="_blank" w:history="1">
        <w:r w:rsidRPr="003317AE">
          <w:rPr>
            <w:rFonts w:eastAsiaTheme="minorEastAsia"/>
            <w:color w:val="0563C1" w:themeColor="hyperlink"/>
            <w:szCs w:val="24"/>
            <w:u w:val="single"/>
            <w:lang w:val="en-US"/>
          </w:rPr>
          <w:t>https://doi.org/10.1180/minmag.1994.058.393.01</w:t>
        </w:r>
      </w:hyperlink>
    </w:p>
    <w:p w14:paraId="30973721" w14:textId="77777777" w:rsidR="003317AE" w:rsidRPr="003317AE" w:rsidRDefault="003317AE" w:rsidP="003317AE">
      <w:pPr>
        <w:numPr>
          <w:ilvl w:val="0"/>
          <w:numId w:val="14"/>
        </w:numPr>
        <w:spacing w:after="200" w:line="276" w:lineRule="auto"/>
        <w:contextualSpacing/>
        <w:rPr>
          <w:rFonts w:eastAsiaTheme="minorEastAsia"/>
          <w:szCs w:val="24"/>
          <w:lang w:val="en-US"/>
        </w:rPr>
      </w:pPr>
      <w:r w:rsidRPr="003317AE">
        <w:rPr>
          <w:rFonts w:eastAsiaTheme="minorEastAsia"/>
          <w:iCs/>
          <w:szCs w:val="24"/>
          <w:lang w:val="en-US"/>
        </w:rPr>
        <w:t xml:space="preserve">USDOE (United States Department of Energy), 2019, Sample records for ICP-MS method development: </w:t>
      </w:r>
      <w:hyperlink r:id="rId32" w:history="1">
        <w:r w:rsidRPr="003317AE">
          <w:rPr>
            <w:rFonts w:eastAsiaTheme="minorEastAsia"/>
            <w:iCs/>
            <w:color w:val="0563C1" w:themeColor="hyperlink"/>
            <w:szCs w:val="24"/>
            <w:u w:val="single"/>
            <w:lang w:val="en-US"/>
          </w:rPr>
          <w:t>https://www.science.gov/topicpages/i/icp-ms+method+development</w:t>
        </w:r>
      </w:hyperlink>
      <w:r w:rsidRPr="003317AE">
        <w:rPr>
          <w:rFonts w:eastAsiaTheme="minorEastAsia"/>
          <w:iCs/>
          <w:szCs w:val="24"/>
          <w:lang w:val="en-US"/>
        </w:rPr>
        <w:t xml:space="preserve"> (Accessed 3/25/2019)</w:t>
      </w:r>
    </w:p>
    <w:p w14:paraId="342ABBBD" w14:textId="77777777" w:rsidR="003317AE" w:rsidRPr="003317AE" w:rsidRDefault="003317AE" w:rsidP="003317AE">
      <w:pPr>
        <w:numPr>
          <w:ilvl w:val="0"/>
          <w:numId w:val="14"/>
        </w:numPr>
        <w:spacing w:after="200" w:line="276" w:lineRule="auto"/>
        <w:contextualSpacing/>
        <w:rPr>
          <w:rFonts w:eastAsiaTheme="minorEastAsia"/>
          <w:szCs w:val="24"/>
          <w:lang w:val="en-US"/>
        </w:rPr>
      </w:pPr>
      <w:r w:rsidRPr="003317AE">
        <w:rPr>
          <w:rFonts w:eastAsiaTheme="minorEastAsia"/>
          <w:szCs w:val="24"/>
          <w:lang w:val="en-US"/>
        </w:rPr>
        <w:t>USGS, 2002, Map scales, USGS Fact Sheet 015-02, 2p.</w:t>
      </w:r>
    </w:p>
    <w:p w14:paraId="667117D3" w14:textId="77777777" w:rsidR="003317AE" w:rsidRPr="003317AE" w:rsidRDefault="003317AE" w:rsidP="003317AE">
      <w:pPr>
        <w:numPr>
          <w:ilvl w:val="0"/>
          <w:numId w:val="14"/>
        </w:numPr>
        <w:spacing w:after="200" w:line="276" w:lineRule="auto"/>
        <w:contextualSpacing/>
        <w:rPr>
          <w:rFonts w:eastAsiaTheme="minorEastAsia"/>
          <w:szCs w:val="24"/>
          <w:lang w:val="fr-CD"/>
        </w:rPr>
      </w:pPr>
      <w:r w:rsidRPr="003317AE">
        <w:rPr>
          <w:rFonts w:eastAsiaTheme="minorEastAsia"/>
          <w:szCs w:val="24"/>
          <w:lang w:val="fr-CD"/>
        </w:rPr>
        <w:t xml:space="preserve">USGS, 2013, ICP-AES technique description: </w:t>
      </w:r>
      <w:hyperlink r:id="rId33" w:history="1">
        <w:r w:rsidRPr="003317AE">
          <w:rPr>
            <w:rFonts w:eastAsiaTheme="minorEastAsia"/>
            <w:color w:val="0563C1" w:themeColor="hyperlink"/>
            <w:szCs w:val="24"/>
            <w:u w:val="single"/>
            <w:lang w:val="fr-CD"/>
          </w:rPr>
          <w:t>https://minerals.cr.usgs.gov/gips/na/5process.html</w:t>
        </w:r>
      </w:hyperlink>
      <w:r w:rsidRPr="003317AE">
        <w:rPr>
          <w:rFonts w:eastAsiaTheme="minorEastAsia"/>
          <w:szCs w:val="24"/>
          <w:lang w:val="fr-CD"/>
        </w:rPr>
        <w:t xml:space="preserve"> (Accessed 4/4/2019)</w:t>
      </w:r>
    </w:p>
    <w:p w14:paraId="1BABF583" w14:textId="77777777" w:rsidR="003317AE" w:rsidRPr="003317AE" w:rsidRDefault="003317AE" w:rsidP="003317AE">
      <w:pPr>
        <w:numPr>
          <w:ilvl w:val="0"/>
          <w:numId w:val="14"/>
        </w:numPr>
        <w:spacing w:after="200" w:line="276" w:lineRule="auto"/>
        <w:contextualSpacing/>
        <w:rPr>
          <w:rFonts w:eastAsiaTheme="minorEastAsia"/>
          <w:szCs w:val="24"/>
          <w:lang w:val="en-US"/>
        </w:rPr>
      </w:pPr>
      <w:r w:rsidRPr="003317AE">
        <w:rPr>
          <w:rFonts w:eastAsiaTheme="minorEastAsia"/>
          <w:szCs w:val="24"/>
          <w:lang w:val="en-US"/>
        </w:rPr>
        <w:t xml:space="preserve">USGS, 2019, USGS maps: </w:t>
      </w:r>
      <w:hyperlink r:id="rId34" w:history="1">
        <w:r w:rsidRPr="003317AE">
          <w:rPr>
            <w:rFonts w:eastAsiaTheme="minorEastAsia"/>
            <w:color w:val="0563C1" w:themeColor="hyperlink"/>
            <w:szCs w:val="24"/>
            <w:u w:val="single"/>
            <w:lang w:val="en-US"/>
          </w:rPr>
          <w:t>https://pubs.usgs.gov/gip/usgsmaps/usgsmaps.html</w:t>
        </w:r>
      </w:hyperlink>
      <w:r w:rsidRPr="003317AE">
        <w:rPr>
          <w:rFonts w:eastAsiaTheme="minorEastAsia"/>
          <w:szCs w:val="24"/>
          <w:lang w:val="en-US"/>
        </w:rPr>
        <w:t xml:space="preserve"> (Accessed 4/3/2019)</w:t>
      </w:r>
    </w:p>
    <w:p w14:paraId="2EF65FBC" w14:textId="77777777" w:rsidR="003317AE" w:rsidRPr="003317AE" w:rsidRDefault="003317AE" w:rsidP="003317AE">
      <w:pPr>
        <w:numPr>
          <w:ilvl w:val="0"/>
          <w:numId w:val="14"/>
        </w:numPr>
        <w:spacing w:after="200" w:line="276" w:lineRule="auto"/>
        <w:contextualSpacing/>
        <w:rPr>
          <w:rFonts w:eastAsiaTheme="minorEastAsia"/>
          <w:szCs w:val="24"/>
          <w:lang w:val="en-US"/>
        </w:rPr>
      </w:pPr>
      <w:r w:rsidRPr="003317AE">
        <w:rPr>
          <w:rFonts w:eastAsiaTheme="minorEastAsia"/>
          <w:szCs w:val="24"/>
          <w:lang w:val="en-US"/>
        </w:rPr>
        <w:t>OWSA (Office of the Wyoming State Archaeologist), 2019, Archaeological ceramics: </w:t>
      </w:r>
      <w:hyperlink r:id="rId35" w:history="1">
        <w:r w:rsidRPr="003317AE">
          <w:rPr>
            <w:rFonts w:eastAsiaTheme="minorEastAsia"/>
            <w:color w:val="0563C1" w:themeColor="hyperlink"/>
            <w:szCs w:val="24"/>
            <w:u w:val="single"/>
            <w:lang w:val="en-US"/>
          </w:rPr>
          <w:t>http://wyoarchaeo.state.wy.us/index.php/about/archaeological-survey/services/petrographic-services/sample-selection-and-submission</w:t>
        </w:r>
      </w:hyperlink>
      <w:r w:rsidRPr="003317AE">
        <w:rPr>
          <w:rFonts w:eastAsiaTheme="minorEastAsia"/>
          <w:szCs w:val="24"/>
          <w:lang w:val="en-US"/>
        </w:rPr>
        <w:t xml:space="preserve">. </w:t>
      </w:r>
      <w:r w:rsidRPr="003317AE">
        <w:rPr>
          <w:rFonts w:eastAsiaTheme="minorEastAsia"/>
          <w:iCs/>
          <w:szCs w:val="24"/>
          <w:lang w:val="en-US"/>
        </w:rPr>
        <w:t>(Accessed 3/26/2019)</w:t>
      </w:r>
    </w:p>
    <w:p w14:paraId="3CC36B2A" w14:textId="77777777" w:rsidR="003317AE" w:rsidRPr="003317AE" w:rsidRDefault="003317AE" w:rsidP="003317AE">
      <w:pPr>
        <w:numPr>
          <w:ilvl w:val="0"/>
          <w:numId w:val="14"/>
        </w:numPr>
        <w:spacing w:after="200" w:line="276" w:lineRule="auto"/>
        <w:contextualSpacing/>
        <w:rPr>
          <w:rFonts w:eastAsiaTheme="minorEastAsia"/>
          <w:szCs w:val="24"/>
          <w:lang w:val="en-US"/>
        </w:rPr>
      </w:pPr>
      <w:r w:rsidRPr="003317AE">
        <w:rPr>
          <w:rFonts w:eastAsiaTheme="minorEastAsia"/>
          <w:szCs w:val="24"/>
          <w:lang w:val="en-US"/>
        </w:rPr>
        <w:lastRenderedPageBreak/>
        <w:t>van der Plas, L., and Tobi, A.C., 1965, A chart for judging the reliability of point counting results: American Journal of Science, v. 263, p. 87-90. doi: 10.2475/ajs.263.1.87</w:t>
      </w:r>
    </w:p>
    <w:p w14:paraId="2FF3091E" w14:textId="77777777" w:rsidR="003317AE" w:rsidRPr="003317AE" w:rsidRDefault="003317AE" w:rsidP="003317AE">
      <w:pPr>
        <w:numPr>
          <w:ilvl w:val="0"/>
          <w:numId w:val="14"/>
        </w:numPr>
        <w:spacing w:after="200" w:line="276" w:lineRule="auto"/>
        <w:contextualSpacing/>
        <w:rPr>
          <w:rFonts w:eastAsiaTheme="minorEastAsia"/>
          <w:szCs w:val="24"/>
          <w:lang w:val="en-US"/>
        </w:rPr>
      </w:pPr>
      <w:r w:rsidRPr="003317AE">
        <w:rPr>
          <w:rFonts w:eastAsiaTheme="minorEastAsia"/>
          <w:szCs w:val="24"/>
          <w:lang w:val="en-US"/>
        </w:rPr>
        <w:t>Velde, B., ed., 1995, Origin and mineralogy of clays: New York, Springer-Verlag, 335 p.</w:t>
      </w:r>
    </w:p>
    <w:p w14:paraId="19B19C17" w14:textId="77777777" w:rsidR="003317AE" w:rsidRPr="003317AE" w:rsidRDefault="003317AE" w:rsidP="003317AE">
      <w:pPr>
        <w:numPr>
          <w:ilvl w:val="0"/>
          <w:numId w:val="14"/>
        </w:numPr>
        <w:spacing w:after="200" w:line="276" w:lineRule="auto"/>
        <w:contextualSpacing/>
        <w:rPr>
          <w:rFonts w:eastAsiaTheme="minorEastAsia"/>
          <w:szCs w:val="24"/>
          <w:lang w:val="en-US"/>
        </w:rPr>
      </w:pPr>
      <w:r w:rsidRPr="003317AE">
        <w:rPr>
          <w:rFonts w:eastAsiaTheme="minorEastAsia"/>
          <w:iCs/>
          <w:szCs w:val="24"/>
          <w:lang w:val="en-US"/>
        </w:rPr>
        <w:t xml:space="preserve">Vermeesch, P., 2018, Statistical models for point-counting data: Earth and Planetary Science Letters, v. 501, p. 112–118. </w:t>
      </w:r>
      <w:hyperlink r:id="rId36" w:tgtFrame="_blank" w:tooltip="Persistent link using digital object identifier" w:history="1">
        <w:r w:rsidRPr="003317AE">
          <w:rPr>
            <w:rFonts w:eastAsiaTheme="minorEastAsia"/>
            <w:iCs/>
            <w:color w:val="0563C1" w:themeColor="hyperlink"/>
            <w:szCs w:val="24"/>
            <w:u w:val="single"/>
            <w:lang w:val="en-US"/>
          </w:rPr>
          <w:t>https://doi.org/10.1016/j.epsl.2018.08.019</w:t>
        </w:r>
      </w:hyperlink>
      <w:r w:rsidRPr="003317AE">
        <w:rPr>
          <w:rFonts w:eastAsiaTheme="minorEastAsia"/>
          <w:iCs/>
          <w:szCs w:val="24"/>
          <w:lang w:val="en-US"/>
        </w:rPr>
        <w:t xml:space="preserve"> </w:t>
      </w:r>
    </w:p>
    <w:p w14:paraId="4DBDF02D" w14:textId="77777777" w:rsidR="003317AE" w:rsidRPr="003317AE" w:rsidRDefault="003317AE" w:rsidP="003317AE">
      <w:pPr>
        <w:numPr>
          <w:ilvl w:val="0"/>
          <w:numId w:val="14"/>
        </w:numPr>
        <w:spacing w:after="200" w:line="276" w:lineRule="auto"/>
        <w:contextualSpacing/>
        <w:rPr>
          <w:rFonts w:eastAsiaTheme="minorEastAsia"/>
          <w:szCs w:val="24"/>
          <w:lang w:val="en-US"/>
        </w:rPr>
      </w:pPr>
      <w:r w:rsidRPr="003317AE">
        <w:rPr>
          <w:rFonts w:eastAsiaTheme="minorEastAsia"/>
          <w:szCs w:val="24"/>
          <w:lang w:val="en-US"/>
        </w:rPr>
        <w:t xml:space="preserve">Weinstein, Y., and Garfunkel, Z., 2013, The Dead Sea transform and the volcanism in northwestern Arabia, </w:t>
      </w:r>
      <w:r w:rsidRPr="003317AE">
        <w:rPr>
          <w:rFonts w:eastAsiaTheme="minorEastAsia"/>
          <w:i/>
          <w:szCs w:val="24"/>
          <w:lang w:val="en-US"/>
        </w:rPr>
        <w:t>in</w:t>
      </w:r>
      <w:r w:rsidRPr="003317AE">
        <w:rPr>
          <w:rFonts w:eastAsiaTheme="minorEastAsia"/>
          <w:szCs w:val="24"/>
          <w:lang w:val="en-US"/>
        </w:rPr>
        <w:t xml:space="preserve"> Garfunkel, Z., Ben-Avraham, Z., and Kagan, E. eds., Dead Sea transform fault system: Reviews, Netherlands, Springer, 359 p. https://doi.org/10.1007/978-94-017-8872-4</w:t>
      </w:r>
    </w:p>
    <w:p w14:paraId="0AB3D5AD" w14:textId="77777777" w:rsidR="003317AE" w:rsidRPr="003317AE" w:rsidRDefault="003317AE" w:rsidP="003317AE">
      <w:pPr>
        <w:numPr>
          <w:ilvl w:val="0"/>
          <w:numId w:val="14"/>
        </w:numPr>
        <w:spacing w:after="200" w:line="276" w:lineRule="auto"/>
        <w:contextualSpacing/>
        <w:rPr>
          <w:rFonts w:eastAsiaTheme="minorEastAsia"/>
          <w:szCs w:val="24"/>
          <w:lang w:val="en-US"/>
        </w:rPr>
      </w:pPr>
      <w:r w:rsidRPr="003317AE">
        <w:rPr>
          <w:rFonts w:eastAsiaTheme="minorEastAsia"/>
          <w:iCs/>
          <w:szCs w:val="24"/>
          <w:lang w:val="en-US"/>
        </w:rPr>
        <w:t xml:space="preserve">Wilson, F., 2016, How we used a century of data to create a modern, digital geologic map of Alaska: the conversation, </w:t>
      </w:r>
      <w:hyperlink r:id="rId37" w:history="1">
        <w:r w:rsidRPr="003317AE">
          <w:rPr>
            <w:rFonts w:eastAsiaTheme="minorEastAsia"/>
            <w:iCs/>
            <w:color w:val="0563C1" w:themeColor="hyperlink"/>
            <w:szCs w:val="24"/>
            <w:u w:val="single"/>
            <w:lang w:val="en-US"/>
          </w:rPr>
          <w:t>https://theconversation.com/how-we-used-a-century-of-data-to-create-a-modern-digital-geologic-map-of-alaska-53917</w:t>
        </w:r>
      </w:hyperlink>
      <w:r w:rsidRPr="003317AE">
        <w:rPr>
          <w:rFonts w:eastAsiaTheme="minorEastAsia"/>
          <w:iCs/>
          <w:szCs w:val="24"/>
          <w:lang w:val="en-US"/>
        </w:rPr>
        <w:t xml:space="preserve"> (Accessed 4/3/2019)</w:t>
      </w:r>
    </w:p>
    <w:p w14:paraId="6347A6B8" w14:textId="77777777" w:rsidR="00FD7719" w:rsidRPr="0059317C" w:rsidRDefault="00FD7719" w:rsidP="00851A3E">
      <w:pPr>
        <w:widowControl w:val="0"/>
        <w:autoSpaceDE w:val="0"/>
        <w:autoSpaceDN w:val="0"/>
        <w:adjustRightInd w:val="0"/>
        <w:spacing w:after="0" w:line="240" w:lineRule="auto"/>
        <w:rPr>
          <w:rFonts w:eastAsiaTheme="minorEastAsia"/>
          <w:szCs w:val="20"/>
          <w:lang w:val="en-CA"/>
        </w:rPr>
      </w:pPr>
    </w:p>
    <w:sectPr w:rsidR="00FD7719" w:rsidRPr="0059317C" w:rsidSect="00BF0C60">
      <w:pgSz w:w="11904" w:h="16836"/>
      <w:pgMar w:top="1080" w:right="864" w:bottom="1080" w:left="864" w:header="1440" w:footer="144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A39651" w14:textId="77777777" w:rsidR="007A7832" w:rsidRDefault="007A7832" w:rsidP="004170A5">
      <w:pPr>
        <w:spacing w:after="0" w:line="240" w:lineRule="auto"/>
      </w:pPr>
      <w:r>
        <w:separator/>
      </w:r>
    </w:p>
  </w:endnote>
  <w:endnote w:type="continuationSeparator" w:id="0">
    <w:p w14:paraId="0465A929" w14:textId="77777777" w:rsidR="007A7832" w:rsidRDefault="007A7832" w:rsidP="004170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80F8F5" w14:textId="77777777" w:rsidR="007A7832" w:rsidRDefault="007A7832" w:rsidP="004170A5">
      <w:pPr>
        <w:spacing w:after="0" w:line="240" w:lineRule="auto"/>
      </w:pPr>
      <w:r>
        <w:separator/>
      </w:r>
    </w:p>
  </w:footnote>
  <w:footnote w:type="continuationSeparator" w:id="0">
    <w:p w14:paraId="724123A2" w14:textId="77777777" w:rsidR="007A7832" w:rsidRDefault="007A7832" w:rsidP="004170A5">
      <w:pPr>
        <w:spacing w:after="0" w:line="240" w:lineRule="auto"/>
      </w:pPr>
      <w:r>
        <w:continuationSeparator/>
      </w:r>
    </w:p>
  </w:footnote>
  <w:footnote w:id="1">
    <w:p w14:paraId="70367B07" w14:textId="03C90D04" w:rsidR="00B27F75" w:rsidRPr="00907082" w:rsidRDefault="00B27F75" w:rsidP="00866659">
      <w:pPr>
        <w:pStyle w:val="FootnoteText"/>
      </w:pPr>
      <w:r>
        <w:rPr>
          <w:rStyle w:val="FootnoteReference"/>
        </w:rPr>
        <w:footnoteRef/>
      </w:r>
      <w:r w:rsidRPr="00866659">
        <w:rPr>
          <w:lang w:val="en-US"/>
        </w:rPr>
        <w:t>H.</w:t>
      </w:r>
      <w:r>
        <w:rPr>
          <w:lang w:val="en-US"/>
        </w:rPr>
        <w:t xml:space="preserve"> </w:t>
      </w:r>
      <w:r w:rsidRPr="00866659">
        <w:rPr>
          <w:lang w:val="en-US"/>
        </w:rPr>
        <w:t xml:space="preserve">Neff, </w:t>
      </w:r>
      <w:r w:rsidRPr="00866659">
        <w:rPr>
          <w:i/>
          <w:lang w:val="en-US"/>
        </w:rPr>
        <w:t>SAS Newsletter</w:t>
      </w:r>
      <w:r w:rsidRPr="00866659">
        <w:rPr>
          <w:lang w:val="en-US"/>
        </w:rPr>
        <w:t xml:space="preserve"> 25</w:t>
      </w:r>
      <w:r>
        <w:rPr>
          <w:lang w:val="en-US"/>
        </w:rPr>
        <w:t xml:space="preserve"> </w:t>
      </w:r>
      <w:r w:rsidRPr="00866659">
        <w:rPr>
          <w:lang w:val="en-US"/>
        </w:rPr>
        <w:t>(2002)</w:t>
      </w:r>
      <w:r>
        <w:rPr>
          <w:lang w:val="en-US"/>
        </w:rPr>
        <w:t xml:space="preserve">, pp. </w:t>
      </w:r>
      <w:r w:rsidRPr="00866659">
        <w:rPr>
          <w:lang w:val="en-US"/>
        </w:rPr>
        <w:t>25-26</w:t>
      </w:r>
      <w:r>
        <w:rPr>
          <w:lang w:val="en-US"/>
        </w:rPr>
        <w:t xml:space="preserve">; </w:t>
      </w:r>
      <w:r w:rsidRPr="00581D43">
        <w:rPr>
          <w:lang w:val="en-US"/>
        </w:rPr>
        <w:t>S</w:t>
      </w:r>
      <w:r>
        <w:rPr>
          <w:lang w:val="en-US"/>
        </w:rPr>
        <w:t>.</w:t>
      </w:r>
      <w:r w:rsidRPr="00581D43">
        <w:rPr>
          <w:lang w:val="en-US"/>
        </w:rPr>
        <w:t xml:space="preserve"> J. Bourke</w:t>
      </w:r>
      <w:r>
        <w:rPr>
          <w:lang w:val="en-US"/>
        </w:rPr>
        <w:t xml:space="preserve">, </w:t>
      </w:r>
      <w:r w:rsidRPr="00581D43">
        <w:rPr>
          <w:i/>
          <w:lang w:val="en-US"/>
        </w:rPr>
        <w:t>Bulletin of the American Schools of Oriental Research</w:t>
      </w:r>
      <w:r w:rsidRPr="00581D43">
        <w:rPr>
          <w:lang w:val="en-US"/>
        </w:rPr>
        <w:t>, 326</w:t>
      </w:r>
      <w:r>
        <w:rPr>
          <w:lang w:val="en-US"/>
        </w:rPr>
        <w:t xml:space="preserve"> </w:t>
      </w:r>
      <w:r w:rsidRPr="00581D43">
        <w:rPr>
          <w:lang w:val="en-US"/>
        </w:rPr>
        <w:t>(2002), pp. 90-94</w:t>
      </w:r>
      <w:r>
        <w:rPr>
          <w:lang w:val="en-US"/>
        </w:rPr>
        <w:t xml:space="preserve">; </w:t>
      </w:r>
      <w:r w:rsidRPr="006216A7">
        <w:t xml:space="preserve">L. Hulin, </w:t>
      </w:r>
      <w:r w:rsidRPr="006216A7">
        <w:rPr>
          <w:i/>
        </w:rPr>
        <w:t>Discussions in Egyptology</w:t>
      </w:r>
      <w:r w:rsidRPr="006216A7">
        <w:t>, 53 (2002), pp. 115-122</w:t>
      </w:r>
      <w:r>
        <w:t xml:space="preserve">; </w:t>
      </w:r>
      <w:r w:rsidRPr="00250F5D">
        <w:rPr>
          <w:lang w:val="en-US"/>
        </w:rPr>
        <w:t>D</w:t>
      </w:r>
      <w:r w:rsidRPr="002B0CC6">
        <w:rPr>
          <w:lang w:val="en-US"/>
        </w:rPr>
        <w:t xml:space="preserve">. A. Aston, </w:t>
      </w:r>
      <w:r w:rsidRPr="00250F5D">
        <w:rPr>
          <w:i/>
          <w:lang w:val="en-US"/>
        </w:rPr>
        <w:t>Journal of Egyptian Archaeology</w:t>
      </w:r>
      <w:r w:rsidRPr="002B0CC6">
        <w:rPr>
          <w:lang w:val="en-US"/>
        </w:rPr>
        <w:t xml:space="preserve"> 90 (2004), pp. 233-237</w:t>
      </w:r>
      <w:r w:rsidRPr="006216A7">
        <w:t>.</w:t>
      </w:r>
    </w:p>
  </w:footnote>
  <w:footnote w:id="2">
    <w:p w14:paraId="751AA8DC" w14:textId="77777777" w:rsidR="00B27F75" w:rsidRPr="00F046CA" w:rsidRDefault="00B27F75">
      <w:pPr>
        <w:pStyle w:val="FootnoteText"/>
        <w:rPr>
          <w:lang w:val="en-US"/>
        </w:rPr>
      </w:pPr>
      <w:r>
        <w:rPr>
          <w:rStyle w:val="FootnoteReference"/>
        </w:rPr>
        <w:footnoteRef/>
      </w:r>
      <w:r w:rsidRPr="00F046CA">
        <w:t xml:space="preserve">E.g., M. Bietak, “From Where Came the Hyksos and Where Did They Go,” pp. 139-181 in M. Marée, ed., </w:t>
      </w:r>
      <w:r w:rsidRPr="00C75E12">
        <w:rPr>
          <w:i/>
        </w:rPr>
        <w:t>The Second Intermediate Period (Thirteenth–Seventeenth Dynasties): Current Research, Future Prospects</w:t>
      </w:r>
      <w:r w:rsidRPr="00F046CA">
        <w:t>, Orientalia Lovaniensia Analecta 192, Leuven, Peeters, 2010.</w:t>
      </w:r>
    </w:p>
  </w:footnote>
  <w:footnote w:id="3">
    <w:p w14:paraId="1ACD00BA" w14:textId="77777777" w:rsidR="00B27F75" w:rsidRPr="00F046CA" w:rsidRDefault="00B27F75">
      <w:pPr>
        <w:pStyle w:val="FootnoteText"/>
        <w:rPr>
          <w:lang w:val="en-US"/>
        </w:rPr>
      </w:pPr>
      <w:r>
        <w:rPr>
          <w:rStyle w:val="FootnoteReference"/>
        </w:rPr>
        <w:footnoteRef/>
      </w:r>
      <w:r w:rsidRPr="00FF7A7D">
        <w:t>The MB IIA-B-C nomenclature is used for the MBA, because it is less ambiguous than the MB I-II-III system in which “MB I” can refer to either EB IV or MB IIA.</w:t>
      </w:r>
    </w:p>
  </w:footnote>
  <w:footnote w:id="4">
    <w:p w14:paraId="45A19C56" w14:textId="62020EC3" w:rsidR="00B27F75" w:rsidRPr="004170A5" w:rsidRDefault="00B27F75">
      <w:pPr>
        <w:pStyle w:val="FootnoteText"/>
        <w:rPr>
          <w:lang w:val="en-US"/>
        </w:rPr>
      </w:pPr>
      <w:r>
        <w:rPr>
          <w:rStyle w:val="FootnoteReference"/>
        </w:rPr>
        <w:footnoteRef/>
      </w:r>
      <w:r w:rsidRPr="005125F6">
        <w:rPr>
          <w:rFonts w:eastAsiaTheme="minorEastAsia"/>
          <w:lang w:val="en-US"/>
        </w:rPr>
        <w:t xml:space="preserve">P. E. McGovern and G. R. Hall, Charting a Future Course for Organic Residue Analysis in Archaeology, </w:t>
      </w:r>
      <w:r w:rsidRPr="005125F6">
        <w:rPr>
          <w:rFonts w:eastAsiaTheme="minorEastAsia"/>
          <w:i/>
          <w:lang w:val="en-US"/>
        </w:rPr>
        <w:t xml:space="preserve">Journal of Archaeological Method and Theory </w:t>
      </w:r>
      <w:r w:rsidRPr="005125F6">
        <w:rPr>
          <w:rFonts w:eastAsiaTheme="minorEastAsia"/>
          <w:lang w:val="en-US"/>
        </w:rPr>
        <w:t>23</w:t>
      </w:r>
      <w:r>
        <w:rPr>
          <w:rFonts w:eastAsiaTheme="minorEastAsia"/>
          <w:lang w:val="en-US"/>
        </w:rPr>
        <w:t xml:space="preserve"> (</w:t>
      </w:r>
      <w:r w:rsidRPr="00011DCA">
        <w:rPr>
          <w:rStyle w:val="Hyperlink"/>
          <w:lang w:val="en-US"/>
        </w:rPr>
        <w:t>https://www.penn.museum/sites/biomoleculararchaeology/wp-content/uploads/2010/03/Uluburun-JAMT-paper-June-2015.pdf</w:t>
      </w:r>
      <w:r>
        <w:rPr>
          <w:rFonts w:eastAsiaTheme="minorEastAsia"/>
          <w:lang w:val="en-US"/>
        </w:rPr>
        <w:t>, accessed May 14, 2019).</w:t>
      </w:r>
    </w:p>
  </w:footnote>
  <w:footnote w:id="5">
    <w:p w14:paraId="63F774FE" w14:textId="77777777" w:rsidR="00B27F75" w:rsidRPr="00EE41C2" w:rsidRDefault="00B27F75">
      <w:pPr>
        <w:pStyle w:val="FootnoteText"/>
        <w:rPr>
          <w:lang w:val="en-US"/>
        </w:rPr>
      </w:pPr>
      <w:r>
        <w:rPr>
          <w:rStyle w:val="FootnoteReference"/>
        </w:rPr>
        <w:footnoteRef/>
      </w:r>
      <w:bookmarkStart w:id="9" w:name="_Hlk3031061"/>
      <w:r w:rsidRPr="00944C47">
        <w:rPr>
          <w:lang w:val="en-US"/>
        </w:rPr>
        <w:t xml:space="preserve">P. E. McGovern, </w:t>
      </w:r>
      <w:r w:rsidRPr="00944C47">
        <w:rPr>
          <w:i/>
          <w:lang w:val="en-US"/>
        </w:rPr>
        <w:t>Ancient Wine: The Search for the Origins of Viniculture</w:t>
      </w:r>
      <w:r>
        <w:rPr>
          <w:lang w:val="en-US"/>
        </w:rPr>
        <w:t xml:space="preserve">, </w:t>
      </w:r>
      <w:r w:rsidRPr="00944C47">
        <w:rPr>
          <w:lang w:val="en-US"/>
        </w:rPr>
        <w:t>Princeton: Princeton University; 2003/2006</w:t>
      </w:r>
      <w:r>
        <w:rPr>
          <w:lang w:val="en-US"/>
        </w:rPr>
        <w:t>, pp. 105-120; a 2</w:t>
      </w:r>
      <w:r w:rsidRPr="00944C47">
        <w:rPr>
          <w:vertAlign w:val="superscript"/>
          <w:lang w:val="en-US"/>
        </w:rPr>
        <w:t>nd</w:t>
      </w:r>
      <w:r>
        <w:rPr>
          <w:lang w:val="en-US"/>
        </w:rPr>
        <w:t xml:space="preserve"> ed., which retains the same argumentation for a two-stage hypothesis, is scheduled to appear in October 2019</w:t>
      </w:r>
      <w:r w:rsidRPr="00944C47">
        <w:rPr>
          <w:lang w:val="en-US"/>
        </w:rPr>
        <w:t>.</w:t>
      </w:r>
      <w:bookmarkEnd w:id="9"/>
    </w:p>
  </w:footnote>
  <w:footnote w:id="6">
    <w:p w14:paraId="275027BD" w14:textId="77777777" w:rsidR="00B27F75" w:rsidRPr="00304D9F" w:rsidRDefault="00B27F75">
      <w:pPr>
        <w:pStyle w:val="FootnoteText"/>
        <w:rPr>
          <w:lang w:val="en-US"/>
        </w:rPr>
      </w:pPr>
      <w:r>
        <w:rPr>
          <w:rStyle w:val="FootnoteReference"/>
        </w:rPr>
        <w:footnoteRef/>
      </w:r>
      <w:bookmarkStart w:id="10" w:name="_Hlk8630374"/>
      <w:r>
        <w:t xml:space="preserve">M. Bietak, </w:t>
      </w:r>
      <w:r w:rsidRPr="00304D9F">
        <w:t xml:space="preserve">Historische und archäologische Einführung, pp. 17-57 in </w:t>
      </w:r>
      <w:r w:rsidRPr="00304D9F">
        <w:rPr>
          <w:i/>
        </w:rPr>
        <w:t>Pharaonen und fremde Dynastien im Dunkel</w:t>
      </w:r>
      <w:r w:rsidRPr="00304D9F">
        <w:t>, 194th special exhibition, Vienna: Museums of Vienna, 1994</w:t>
      </w:r>
      <w:r>
        <w:t>.</w:t>
      </w:r>
    </w:p>
    <w:bookmarkEnd w:id="10"/>
  </w:footnote>
  <w:footnote w:id="7">
    <w:p w14:paraId="491153FA" w14:textId="391CA353" w:rsidR="00B27F75" w:rsidRPr="00730B4D" w:rsidRDefault="00B27F75" w:rsidP="00256AC2">
      <w:pPr>
        <w:pStyle w:val="FootnoteText"/>
      </w:pPr>
      <w:bookmarkStart w:id="12" w:name="_Hlk5256909"/>
      <w:r>
        <w:rPr>
          <w:rStyle w:val="FootnoteReference"/>
        </w:rPr>
        <w:footnoteRef/>
      </w:r>
      <w:r w:rsidRPr="001C4FAB">
        <w:t>J. M.</w:t>
      </w:r>
      <w:r>
        <w:t xml:space="preserve"> </w:t>
      </w:r>
      <w:r w:rsidRPr="001C4FAB">
        <w:t>Weinstein, Egyptian Relations with Palestine in the Middle Kingdom</w:t>
      </w:r>
      <w:r>
        <w:t>,</w:t>
      </w:r>
      <w:r w:rsidRPr="001C4FAB">
        <w:t xml:space="preserve"> </w:t>
      </w:r>
      <w:r w:rsidRPr="00C3286A">
        <w:rPr>
          <w:i/>
          <w:iCs/>
        </w:rPr>
        <w:t>Bulletin of the American Schools of Oriental</w:t>
      </w:r>
      <w:r>
        <w:rPr>
          <w:i/>
          <w:iCs/>
        </w:rPr>
        <w:t xml:space="preserve"> Research</w:t>
      </w:r>
      <w:r w:rsidRPr="00C3286A">
        <w:rPr>
          <w:i/>
          <w:iCs/>
        </w:rPr>
        <w:t xml:space="preserve"> </w:t>
      </w:r>
      <w:r w:rsidRPr="00C3286A">
        <w:t>217</w:t>
      </w:r>
      <w:r>
        <w:t xml:space="preserve"> </w:t>
      </w:r>
      <w:r w:rsidRPr="00C3286A">
        <w:t>(</w:t>
      </w:r>
      <w:r w:rsidRPr="00C3286A">
        <w:rPr>
          <w:iCs/>
        </w:rPr>
        <w:t>1975</w:t>
      </w:r>
      <w:r w:rsidRPr="006A60C6">
        <w:rPr>
          <w:iCs/>
        </w:rPr>
        <w:t>)</w:t>
      </w:r>
      <w:r w:rsidRPr="00C3286A">
        <w:t>:1-16</w:t>
      </w:r>
      <w:r>
        <w:t xml:space="preserve">, and </w:t>
      </w:r>
      <w:r w:rsidRPr="004D0091">
        <w:t>The Egyptian Empire in Palestine: A Reassessment</w:t>
      </w:r>
      <w:r>
        <w:t>,</w:t>
      </w:r>
      <w:r w:rsidRPr="004D0091">
        <w:t xml:space="preserve"> </w:t>
      </w:r>
      <w:r w:rsidRPr="00C3286A">
        <w:rPr>
          <w:i/>
          <w:iCs/>
        </w:rPr>
        <w:t>Bulletin of the American Schools of Oriental</w:t>
      </w:r>
      <w:r>
        <w:rPr>
          <w:i/>
          <w:iCs/>
        </w:rPr>
        <w:t xml:space="preserve"> Research </w:t>
      </w:r>
      <w:r>
        <w:rPr>
          <w:iCs/>
        </w:rPr>
        <w:t>2</w:t>
      </w:r>
      <w:r w:rsidRPr="00257268">
        <w:t>41 (1981)</w:t>
      </w:r>
      <w:bookmarkEnd w:id="12"/>
      <w:r w:rsidRPr="00257268">
        <w:t>, pp. 1-28</w:t>
      </w:r>
      <w:r>
        <w:t>; D. Ben-Tor,</w:t>
      </w:r>
      <w:r w:rsidRPr="00050DB4">
        <w:t xml:space="preserve"> Can Scarabs Argue for the Origin of the Hyksos?</w:t>
      </w:r>
      <w:r>
        <w:t xml:space="preserve">, </w:t>
      </w:r>
      <w:r w:rsidRPr="00050DB4">
        <w:rPr>
          <w:i/>
        </w:rPr>
        <w:t>Journal of Ancient Egyptian Interconnections</w:t>
      </w:r>
      <w:r w:rsidRPr="0037266B">
        <w:t xml:space="preserve"> 1</w:t>
      </w:r>
      <w:r>
        <w:t xml:space="preserve"> (</w:t>
      </w:r>
      <w:r w:rsidRPr="0037266B">
        <w:t>2009</w:t>
      </w:r>
      <w:r>
        <w:t>), pp.</w:t>
      </w:r>
      <w:r w:rsidRPr="0037266B">
        <w:t xml:space="preserve"> 1–7</w:t>
      </w:r>
      <w:r>
        <w:t xml:space="preserve">; </w:t>
      </w:r>
      <w:r>
        <w:rPr>
          <w:i/>
        </w:rPr>
        <w:t>contra</w:t>
      </w:r>
      <w:r>
        <w:t xml:space="preserve"> M. Bietak, </w:t>
      </w:r>
      <w:r w:rsidRPr="00255AFE">
        <w:t xml:space="preserve">“From </w:t>
      </w:r>
      <w:r>
        <w:t>W</w:t>
      </w:r>
      <w:r w:rsidRPr="00255AFE">
        <w:t xml:space="preserve">here </w:t>
      </w:r>
      <w:r>
        <w:t>C</w:t>
      </w:r>
      <w:r w:rsidRPr="00255AFE">
        <w:t xml:space="preserve">ame the Hyksos and </w:t>
      </w:r>
      <w:r>
        <w:t>W</w:t>
      </w:r>
      <w:r w:rsidRPr="00255AFE">
        <w:t xml:space="preserve">here </w:t>
      </w:r>
      <w:r>
        <w:t>D</w:t>
      </w:r>
      <w:r w:rsidRPr="00255AFE">
        <w:t xml:space="preserve">id </w:t>
      </w:r>
      <w:r>
        <w:t>T</w:t>
      </w:r>
      <w:r w:rsidRPr="00255AFE">
        <w:t xml:space="preserve">hey </w:t>
      </w:r>
      <w:r>
        <w:t>G</w:t>
      </w:r>
      <w:r w:rsidRPr="00255AFE">
        <w:t>o</w:t>
      </w:r>
      <w:r>
        <w:t>,</w:t>
      </w:r>
      <w:r w:rsidRPr="00255AFE">
        <w:t xml:space="preserve">” </w:t>
      </w:r>
      <w:r>
        <w:t xml:space="preserve">pp. </w:t>
      </w:r>
      <w:r w:rsidRPr="00255AFE">
        <w:t>139-181</w:t>
      </w:r>
      <w:r>
        <w:t xml:space="preserve"> </w:t>
      </w:r>
      <w:r w:rsidRPr="00255AFE">
        <w:t>in M. Marée</w:t>
      </w:r>
      <w:r>
        <w:t>,</w:t>
      </w:r>
      <w:r w:rsidRPr="00255AFE">
        <w:t xml:space="preserve"> ed., </w:t>
      </w:r>
      <w:r w:rsidRPr="00255AFE">
        <w:rPr>
          <w:i/>
        </w:rPr>
        <w:t>The Second Intermediate Period (Thirteenth</w:t>
      </w:r>
      <w:r>
        <w:rPr>
          <w:i/>
        </w:rPr>
        <w:t>–</w:t>
      </w:r>
      <w:r w:rsidRPr="00255AFE">
        <w:rPr>
          <w:i/>
        </w:rPr>
        <w:t>Seventeenth Dynasties): Current Research, Future Prospect</w:t>
      </w:r>
      <w:r w:rsidRPr="00255AFE">
        <w:t xml:space="preserve">s, </w:t>
      </w:r>
      <w:r w:rsidRPr="00BB4561">
        <w:t xml:space="preserve">Orientalia Lovaniensia Analecta </w:t>
      </w:r>
      <w:r w:rsidRPr="00255AFE">
        <w:t>192, Leuven</w:t>
      </w:r>
      <w:r>
        <w:t>,</w:t>
      </w:r>
      <w:r w:rsidRPr="00255AFE">
        <w:t xml:space="preserve"> Peeters</w:t>
      </w:r>
      <w:r>
        <w:t>,</w:t>
      </w:r>
      <w:r w:rsidRPr="00255AFE">
        <w:t xml:space="preserve"> 2010.</w:t>
      </w:r>
      <w:r>
        <w:t xml:space="preserve">  For the most up-to-late, exhaustive, and definitive study showing a</w:t>
      </w:r>
      <w:r>
        <w:rPr>
          <w:color w:val="000000"/>
          <w:szCs w:val="24"/>
        </w:rPr>
        <w:t xml:space="preserve"> </w:t>
      </w:r>
      <w:r w:rsidRPr="005D4163">
        <w:rPr>
          <w:color w:val="000000"/>
        </w:rPr>
        <w:t xml:space="preserve">total absence of Egyptian scarabs </w:t>
      </w:r>
      <w:r>
        <w:rPr>
          <w:color w:val="000000"/>
        </w:rPr>
        <w:t>during</w:t>
      </w:r>
      <w:r w:rsidRPr="005D4163">
        <w:rPr>
          <w:color w:val="000000"/>
        </w:rPr>
        <w:t xml:space="preserve"> </w:t>
      </w:r>
      <w:r>
        <w:rPr>
          <w:color w:val="000000"/>
        </w:rPr>
        <w:t>the 2</w:t>
      </w:r>
      <w:r w:rsidRPr="00537571">
        <w:rPr>
          <w:color w:val="000000"/>
          <w:vertAlign w:val="superscript"/>
        </w:rPr>
        <w:t>nd</w:t>
      </w:r>
      <w:r>
        <w:rPr>
          <w:color w:val="000000"/>
        </w:rPr>
        <w:t xml:space="preserve"> Intermediate or “Hyksos” period (i.e., MB IIB-IIC) in the northern Levant, see V. Boschloos, </w:t>
      </w:r>
      <w:r w:rsidRPr="00730B4D">
        <w:rPr>
          <w:color w:val="000000"/>
        </w:rPr>
        <w:t>Egyptian and Egyptianising Scarab-shaped Seals in Syria and Lebanon</w:t>
      </w:r>
      <w:r>
        <w:rPr>
          <w:color w:val="000000"/>
        </w:rPr>
        <w:t xml:space="preserve">, </w:t>
      </w:r>
      <w:r>
        <w:rPr>
          <w:i/>
          <w:color w:val="000000"/>
        </w:rPr>
        <w:t>Bibliotheca Orientalis</w:t>
      </w:r>
      <w:r>
        <w:rPr>
          <w:color w:val="000000"/>
        </w:rPr>
        <w:t xml:space="preserve"> 69 (2012), pp. 175-181.</w:t>
      </w:r>
    </w:p>
  </w:footnote>
  <w:footnote w:id="8">
    <w:p w14:paraId="38CF8140" w14:textId="77777777" w:rsidR="00B27F75" w:rsidRPr="007B49CC" w:rsidRDefault="00B27F75">
      <w:pPr>
        <w:pStyle w:val="FootnoteText"/>
        <w:rPr>
          <w:lang w:val="en-US"/>
        </w:rPr>
      </w:pPr>
      <w:r w:rsidRPr="007B49CC">
        <w:rPr>
          <w:rStyle w:val="FootnoteReference"/>
        </w:rPr>
        <w:footnoteRef/>
      </w:r>
      <w:r w:rsidRPr="007B49CC">
        <w:t xml:space="preserve">“Absolute” dates are </w:t>
      </w:r>
      <w:r>
        <w:t>very tentative and</w:t>
      </w:r>
      <w:r w:rsidRPr="007B49CC">
        <w:t xml:space="preserve"> meant </w:t>
      </w:r>
      <w:r>
        <w:t xml:space="preserve">only </w:t>
      </w:r>
      <w:r w:rsidRPr="007B49CC">
        <w:t>to help orient the reader</w:t>
      </w:r>
      <w:r>
        <w:t>.  They</w:t>
      </w:r>
      <w:r w:rsidRPr="007B49CC">
        <w:t xml:space="preserve"> are not absolute as such, given the on-going chronological debate for the period.  See further, below.</w:t>
      </w:r>
    </w:p>
  </w:footnote>
  <w:footnote w:id="9">
    <w:p w14:paraId="0B9E4F84" w14:textId="03FD4202" w:rsidR="00B27F75" w:rsidRPr="00AC7D4C" w:rsidRDefault="00B27F75">
      <w:pPr>
        <w:pStyle w:val="FootnoteText"/>
        <w:rPr>
          <w:lang w:val="en-US"/>
        </w:rPr>
      </w:pPr>
      <w:r>
        <w:rPr>
          <w:rStyle w:val="FootnoteReference"/>
        </w:rPr>
        <w:footnoteRef/>
      </w:r>
      <w:r w:rsidRPr="000C6227">
        <w:rPr>
          <w:rFonts w:eastAsiaTheme="minorEastAsia"/>
          <w:lang w:val="en-US"/>
        </w:rPr>
        <w:t>M. Bietak, K. Kopetzky, L.E. Stager</w:t>
      </w:r>
      <w:r>
        <w:rPr>
          <w:rFonts w:eastAsiaTheme="minorEastAsia"/>
          <w:lang w:val="en-US"/>
        </w:rPr>
        <w:t>, and</w:t>
      </w:r>
      <w:r w:rsidRPr="000C6227">
        <w:rPr>
          <w:rFonts w:eastAsiaTheme="minorEastAsia"/>
          <w:lang w:val="en-US"/>
        </w:rPr>
        <w:t xml:space="preserve"> R. Voss, Synchronisation of Stratigraphies: Ashkelon and Tell el-Dab</w:t>
      </w:r>
      <w:r>
        <w:rPr>
          <w:rFonts w:eastAsiaTheme="minorEastAsia"/>
          <w:lang w:val="en-US"/>
        </w:rPr>
        <w:t>`</w:t>
      </w:r>
      <w:r w:rsidRPr="000C6227">
        <w:rPr>
          <w:rFonts w:eastAsiaTheme="minorEastAsia"/>
          <w:lang w:val="en-US"/>
        </w:rPr>
        <w:t>a</w:t>
      </w:r>
      <w:r>
        <w:rPr>
          <w:rFonts w:eastAsiaTheme="minorEastAsia"/>
          <w:lang w:val="en-US"/>
        </w:rPr>
        <w:t>,</w:t>
      </w:r>
      <w:r w:rsidRPr="000C6227">
        <w:rPr>
          <w:rFonts w:eastAsiaTheme="minorEastAsia"/>
          <w:lang w:val="en-US"/>
        </w:rPr>
        <w:t xml:space="preserve"> </w:t>
      </w:r>
      <w:r w:rsidRPr="000C6227">
        <w:rPr>
          <w:rFonts w:eastAsiaTheme="minorEastAsia"/>
          <w:i/>
          <w:lang w:val="en-US"/>
        </w:rPr>
        <w:t>Ägypten und Levante</w:t>
      </w:r>
      <w:r w:rsidRPr="000C6227">
        <w:rPr>
          <w:rFonts w:eastAsiaTheme="minorEastAsia"/>
          <w:lang w:val="en-US"/>
        </w:rPr>
        <w:t xml:space="preserve"> 18 (2008), </w:t>
      </w:r>
      <w:r>
        <w:rPr>
          <w:rFonts w:eastAsiaTheme="minorEastAsia"/>
          <w:lang w:val="en-US"/>
        </w:rPr>
        <w:t xml:space="preserve">pp. </w:t>
      </w:r>
      <w:r w:rsidRPr="000C6227">
        <w:rPr>
          <w:rFonts w:eastAsiaTheme="minorEastAsia"/>
          <w:lang w:val="en-US"/>
        </w:rPr>
        <w:t>49-60.</w:t>
      </w:r>
      <w:r>
        <w:rPr>
          <w:rFonts w:eastAsiaTheme="minorEastAsia"/>
          <w:lang w:val="en-US"/>
        </w:rPr>
        <w:t xml:space="preserve">  Also, see </w:t>
      </w:r>
      <w:r>
        <w:rPr>
          <w:rFonts w:eastAsia="Times New Roman"/>
          <w:lang w:val="en-US"/>
        </w:rPr>
        <w:t>footnote</w:t>
      </w:r>
      <w:r>
        <w:rPr>
          <w:rFonts w:eastAsiaTheme="minorEastAsia"/>
          <w:lang w:val="en-US"/>
        </w:rPr>
        <w:t xml:space="preserve"> 39, below.</w:t>
      </w:r>
    </w:p>
  </w:footnote>
  <w:footnote w:id="10">
    <w:p w14:paraId="535D3792" w14:textId="25956C0E" w:rsidR="00B27F75" w:rsidRPr="005C1715" w:rsidRDefault="00B27F75" w:rsidP="004E333C">
      <w:pPr>
        <w:pStyle w:val="FootnoteText"/>
      </w:pPr>
      <w:r>
        <w:rPr>
          <w:rStyle w:val="FootnoteReference"/>
        </w:rPr>
        <w:footnoteRef/>
      </w:r>
      <w:r w:rsidRPr="004E333C">
        <w:rPr>
          <w:rFonts w:eastAsia="Times New Roman"/>
          <w:lang w:val="en-US"/>
        </w:rPr>
        <w:t>A. Cohen-Weinberger and Y. Goren, Levantine-Egyptian Interactions during the 12</w:t>
      </w:r>
      <w:r w:rsidRPr="004E333C">
        <w:rPr>
          <w:rFonts w:eastAsia="Times New Roman"/>
          <w:vertAlign w:val="superscript"/>
          <w:lang w:val="en-US"/>
        </w:rPr>
        <w:t>th</w:t>
      </w:r>
      <w:r w:rsidRPr="004E333C">
        <w:rPr>
          <w:rFonts w:eastAsia="Times New Roman"/>
          <w:lang w:val="en-US"/>
        </w:rPr>
        <w:t xml:space="preserve"> to the 15</w:t>
      </w:r>
      <w:r w:rsidRPr="004E333C">
        <w:rPr>
          <w:rFonts w:eastAsia="Times New Roman"/>
          <w:vertAlign w:val="superscript"/>
          <w:lang w:val="en-US"/>
        </w:rPr>
        <w:t>th</w:t>
      </w:r>
      <w:r w:rsidRPr="004E333C">
        <w:rPr>
          <w:rFonts w:eastAsia="Times New Roman"/>
          <w:lang w:val="en-US"/>
        </w:rPr>
        <w:t xml:space="preserve"> Dynasties Based on the Petrography of the Canaanite Pottery from Tell el-Dabʿa, </w:t>
      </w:r>
      <w:r w:rsidRPr="004E333C">
        <w:rPr>
          <w:rFonts w:eastAsia="Times New Roman"/>
          <w:i/>
          <w:lang w:val="en-US"/>
        </w:rPr>
        <w:t>Ägypten und Levante</w:t>
      </w:r>
      <w:r w:rsidRPr="004E333C">
        <w:rPr>
          <w:rFonts w:eastAsia="Times New Roman"/>
          <w:lang w:val="en-US"/>
        </w:rPr>
        <w:t xml:space="preserve"> 14 (2004), pp. 69-100.</w:t>
      </w:r>
      <w:r>
        <w:t xml:space="preserve">  Hereafter cited as “</w:t>
      </w:r>
      <w:bookmarkStart w:id="14" w:name="_Hlk8631544"/>
      <w:r>
        <w:t>Daba Petrography</w:t>
      </w:r>
      <w:bookmarkEnd w:id="14"/>
      <w:r>
        <w:t>.”</w:t>
      </w:r>
    </w:p>
  </w:footnote>
  <w:footnote w:id="11">
    <w:p w14:paraId="2ED77ACF" w14:textId="44119BBC" w:rsidR="00B27F75" w:rsidRPr="008E72D3" w:rsidRDefault="00B27F75" w:rsidP="008E72D3">
      <w:pPr>
        <w:pStyle w:val="FootnoteText"/>
      </w:pPr>
      <w:r>
        <w:rPr>
          <w:rStyle w:val="FootnoteReference"/>
        </w:rPr>
        <w:footnoteRef/>
      </w:r>
      <w:r w:rsidRPr="008E72D3">
        <w:t>E.g., Y</w:t>
      </w:r>
      <w:r>
        <w:t xml:space="preserve">. </w:t>
      </w:r>
      <w:r w:rsidRPr="008E72D3">
        <w:t xml:space="preserve">Goren, The Southern Levant in the Early Bronze Age IV: The Petrographic Perspective, </w:t>
      </w:r>
      <w:r w:rsidRPr="008E72D3">
        <w:rPr>
          <w:i/>
        </w:rPr>
        <w:t>Bulletin of the American Schools of Oriental Research</w:t>
      </w:r>
      <w:r w:rsidRPr="008E72D3">
        <w:t xml:space="preserve"> 303 (1996), pp. 33-72</w:t>
      </w:r>
      <w:hyperlink w:history="1"/>
      <w:r w:rsidRPr="00A67AE5">
        <w:t>.</w:t>
      </w:r>
    </w:p>
  </w:footnote>
  <w:footnote w:id="12">
    <w:p w14:paraId="1B8F182A" w14:textId="1FB3711D" w:rsidR="00B27F75" w:rsidRPr="0079572B" w:rsidRDefault="00B27F75" w:rsidP="001D1251">
      <w:pPr>
        <w:pStyle w:val="FootnoteText"/>
        <w:rPr>
          <w:lang w:val="en-US"/>
        </w:rPr>
      </w:pPr>
      <w:r>
        <w:rPr>
          <w:rStyle w:val="FootnoteReference"/>
        </w:rPr>
        <w:footnoteRef/>
      </w:r>
      <w:r>
        <w:rPr>
          <w:lang w:val="en-US"/>
        </w:rPr>
        <w:t xml:space="preserve">Y. </w:t>
      </w:r>
      <w:r w:rsidRPr="00A906D1">
        <w:rPr>
          <w:lang w:val="en-US"/>
        </w:rPr>
        <w:t>Goren</w:t>
      </w:r>
      <w:r>
        <w:rPr>
          <w:lang w:val="en-US"/>
        </w:rPr>
        <w:t xml:space="preserve">, </w:t>
      </w:r>
      <w:r w:rsidRPr="00A906D1">
        <w:rPr>
          <w:lang w:val="en-US"/>
        </w:rPr>
        <w:t>H.</w:t>
      </w:r>
      <w:r>
        <w:rPr>
          <w:lang w:val="en-US"/>
        </w:rPr>
        <w:t xml:space="preserve"> </w:t>
      </w:r>
      <w:r w:rsidRPr="00A906D1">
        <w:rPr>
          <w:lang w:val="en-US"/>
        </w:rPr>
        <w:t>Mommsen, and</w:t>
      </w:r>
      <w:r>
        <w:rPr>
          <w:lang w:val="en-US"/>
        </w:rPr>
        <w:t xml:space="preserve"> </w:t>
      </w:r>
      <w:r w:rsidRPr="00A906D1">
        <w:rPr>
          <w:lang w:val="en-US"/>
        </w:rPr>
        <w:t>J</w:t>
      </w:r>
      <w:r>
        <w:rPr>
          <w:lang w:val="en-US"/>
        </w:rPr>
        <w:t>.</w:t>
      </w:r>
      <w:r w:rsidRPr="00A906D1">
        <w:rPr>
          <w:lang w:val="en-US"/>
        </w:rPr>
        <w:t xml:space="preserve"> Klinger</w:t>
      </w:r>
      <w:r>
        <w:rPr>
          <w:lang w:val="en-US"/>
        </w:rPr>
        <w:t xml:space="preserve">, </w:t>
      </w:r>
      <w:r w:rsidRPr="00A906D1">
        <w:rPr>
          <w:lang w:val="en-US"/>
        </w:rPr>
        <w:t>Non-destructive provenance study of cuneiform tablets using portable X-ray fluorescence (pXRF),</w:t>
      </w:r>
      <w:r w:rsidRPr="00A906D1">
        <w:t xml:space="preserve"> </w:t>
      </w:r>
      <w:r w:rsidRPr="00A906D1">
        <w:rPr>
          <w:i/>
          <w:lang w:val="en-US"/>
        </w:rPr>
        <w:t>Journal of Archaeological Science</w:t>
      </w:r>
      <w:r w:rsidRPr="00A906D1">
        <w:rPr>
          <w:lang w:val="en-US"/>
        </w:rPr>
        <w:t xml:space="preserve"> 38 (2011), pp. 684-696. </w:t>
      </w:r>
    </w:p>
  </w:footnote>
  <w:footnote w:id="13">
    <w:p w14:paraId="6150F712" w14:textId="77777777" w:rsidR="00B27F75" w:rsidRDefault="00B27F75" w:rsidP="00885C33">
      <w:pPr>
        <w:pStyle w:val="FootnoteText"/>
        <w:rPr>
          <w:lang w:val="en-US"/>
        </w:rPr>
      </w:pPr>
      <w:r>
        <w:rPr>
          <w:rStyle w:val="FootnoteReference"/>
        </w:rPr>
        <w:footnoteRef/>
      </w:r>
      <w:r>
        <w:rPr>
          <w:lang w:val="en-US"/>
        </w:rPr>
        <w:t xml:space="preserve">a) </w:t>
      </w:r>
      <w:r w:rsidRPr="002160AB">
        <w:rPr>
          <w:lang w:val="en-US"/>
        </w:rPr>
        <w:t xml:space="preserve">P. E. McGovern, G. Harbottle, and C. Wnuk, Late Bronze Pottery Fabrics from the Baq`ah Valley, Jordan: Composition and Origins, </w:t>
      </w:r>
      <w:r w:rsidRPr="002160AB">
        <w:rPr>
          <w:i/>
          <w:lang w:val="en-US"/>
        </w:rPr>
        <w:t>MASCA Journal</w:t>
      </w:r>
      <w:r w:rsidRPr="002160AB">
        <w:rPr>
          <w:lang w:val="en-US"/>
        </w:rPr>
        <w:t xml:space="preserve"> 2 (1982)</w:t>
      </w:r>
      <w:r>
        <w:rPr>
          <w:lang w:val="en-US"/>
        </w:rPr>
        <w:t>,</w:t>
      </w:r>
      <w:r w:rsidRPr="002160AB">
        <w:rPr>
          <w:lang w:val="en-US"/>
        </w:rPr>
        <w:t xml:space="preserve"> pp. 8-12</w:t>
      </w:r>
      <w:r>
        <w:rPr>
          <w:lang w:val="en-US"/>
        </w:rPr>
        <w:t xml:space="preserve"> (</w:t>
      </w:r>
      <w:hyperlink r:id="rId1" w:history="1">
        <w:r w:rsidRPr="00CE7C40">
          <w:rPr>
            <w:rStyle w:val="Hyperlink"/>
            <w:lang w:val="en-US"/>
          </w:rPr>
          <w:t>https://www.penn.museum/sites/biomoleculararchaeology/wp-content/uploads/2010/04/MASCAJbaqahNAA.pdf</w:t>
        </w:r>
      </w:hyperlink>
      <w:r w:rsidRPr="001C06E9">
        <w:rPr>
          <w:rStyle w:val="Hyperlink"/>
          <w:color w:val="000000" w:themeColor="text1"/>
          <w:lang w:val="en-US"/>
        </w:rPr>
        <w:t>; accessed May 14, 2019</w:t>
      </w:r>
      <w:r>
        <w:rPr>
          <w:lang w:val="en-US"/>
        </w:rPr>
        <w:t>);</w:t>
      </w:r>
    </w:p>
    <w:p w14:paraId="7A2360C7" w14:textId="77777777" w:rsidR="00B27F75" w:rsidRDefault="00B27F75" w:rsidP="00885C33">
      <w:pPr>
        <w:pStyle w:val="FootnoteText"/>
        <w:ind w:left="720" w:hanging="720"/>
        <w:rPr>
          <w:lang w:val="en-US"/>
        </w:rPr>
      </w:pPr>
      <w:r>
        <w:rPr>
          <w:lang w:val="en-US"/>
        </w:rPr>
        <w:t xml:space="preserve">b) </w:t>
      </w:r>
      <w:r w:rsidRPr="002160AB">
        <w:rPr>
          <w:lang w:val="en-US"/>
        </w:rPr>
        <w:t xml:space="preserve">P. E. McGovern, </w:t>
      </w:r>
      <w:r w:rsidRPr="00DF16DD">
        <w:rPr>
          <w:lang w:val="en-US"/>
        </w:rPr>
        <w:t>W. W. Vernon</w:t>
      </w:r>
      <w:r>
        <w:rPr>
          <w:lang w:val="en-US"/>
        </w:rPr>
        <w:t>,</w:t>
      </w:r>
      <w:r w:rsidRPr="00DF16DD">
        <w:rPr>
          <w:lang w:val="en-US"/>
        </w:rPr>
        <w:t xml:space="preserve"> and J. C. White</w:t>
      </w:r>
      <w:r>
        <w:rPr>
          <w:lang w:val="en-US"/>
        </w:rPr>
        <w:t xml:space="preserve">, </w:t>
      </w:r>
      <w:r w:rsidRPr="00DF16DD">
        <w:rPr>
          <w:lang w:val="en-US"/>
        </w:rPr>
        <w:t>Ceramic Technology at Prehistoric Ban Chiang, Thailand: Physicochemical Analyses</w:t>
      </w:r>
      <w:r>
        <w:rPr>
          <w:lang w:val="en-US"/>
        </w:rPr>
        <w:t xml:space="preserve">, </w:t>
      </w:r>
      <w:r w:rsidRPr="00DF16DD">
        <w:rPr>
          <w:lang w:val="en-US"/>
        </w:rPr>
        <w:t xml:space="preserve"> </w:t>
      </w:r>
      <w:r w:rsidRPr="00DF16DD">
        <w:rPr>
          <w:i/>
          <w:lang w:val="en-US"/>
        </w:rPr>
        <w:t>MASCA Journal</w:t>
      </w:r>
      <w:r w:rsidRPr="00DF16DD">
        <w:rPr>
          <w:lang w:val="en-US"/>
        </w:rPr>
        <w:t xml:space="preserve"> 3</w:t>
      </w:r>
      <w:r>
        <w:rPr>
          <w:lang w:val="en-US"/>
        </w:rPr>
        <w:t xml:space="preserve"> (</w:t>
      </w:r>
      <w:r w:rsidRPr="00DF16DD">
        <w:rPr>
          <w:lang w:val="en-US"/>
        </w:rPr>
        <w:t>1985</w:t>
      </w:r>
      <w:r>
        <w:rPr>
          <w:lang w:val="en-US"/>
        </w:rPr>
        <w:t>), pp.</w:t>
      </w:r>
      <w:r w:rsidRPr="00DF16DD">
        <w:rPr>
          <w:lang w:val="en-US"/>
        </w:rPr>
        <w:t xml:space="preserve"> 104-113</w:t>
      </w:r>
      <w:r>
        <w:rPr>
          <w:lang w:val="en-US"/>
        </w:rPr>
        <w:t xml:space="preserve"> (</w:t>
      </w:r>
      <w:hyperlink r:id="rId2" w:history="1">
        <w:r w:rsidRPr="00CE7C40">
          <w:rPr>
            <w:rStyle w:val="Hyperlink"/>
            <w:lang w:val="en-US"/>
          </w:rPr>
          <w:t>https://www.penn.museum/sites/biomoleculararchaeology/wp-content/uploads/2010/03/mascajbanchiang.pdf</w:t>
        </w:r>
      </w:hyperlink>
      <w:r>
        <w:rPr>
          <w:lang w:val="en-US"/>
        </w:rPr>
        <w:t>);</w:t>
      </w:r>
    </w:p>
    <w:p w14:paraId="3A449A12" w14:textId="77777777" w:rsidR="00B27F75" w:rsidRDefault="00B27F75" w:rsidP="00885C33">
      <w:pPr>
        <w:pStyle w:val="FootnoteText"/>
        <w:ind w:left="720" w:hanging="720"/>
        <w:rPr>
          <w:lang w:val="en-US"/>
        </w:rPr>
      </w:pPr>
      <w:r>
        <w:rPr>
          <w:lang w:val="en-US"/>
        </w:rPr>
        <w:t xml:space="preserve">c) </w:t>
      </w:r>
      <w:r w:rsidRPr="002160AB">
        <w:rPr>
          <w:lang w:val="en-US"/>
        </w:rPr>
        <w:t xml:space="preserve">P. E. McGovern, G. Harbottle, and C. Wnuk, </w:t>
      </w:r>
      <w:r>
        <w:rPr>
          <w:lang w:val="en-US"/>
        </w:rPr>
        <w:t xml:space="preserve">Ware Characterization: Petrography, Chemical Sourcing, and Firing, pp. 178-193 in </w:t>
      </w:r>
      <w:r w:rsidRPr="00900729">
        <w:rPr>
          <w:i/>
          <w:lang w:val="en-US"/>
        </w:rPr>
        <w:t>The Late Bronze and Early Iron Ages of Central Transjordan: The Baq`ah Valley Project, 1977-1981</w:t>
      </w:r>
      <w:r>
        <w:rPr>
          <w:i/>
          <w:lang w:val="en-US"/>
        </w:rPr>
        <w:t xml:space="preserve"> </w:t>
      </w:r>
      <w:r w:rsidRPr="00265D69">
        <w:rPr>
          <w:lang w:val="en-US"/>
        </w:rPr>
        <w:t>by</w:t>
      </w:r>
      <w:r>
        <w:rPr>
          <w:i/>
          <w:lang w:val="en-US"/>
        </w:rPr>
        <w:t xml:space="preserve"> </w:t>
      </w:r>
      <w:r>
        <w:rPr>
          <w:lang w:val="en-US"/>
        </w:rPr>
        <w:t xml:space="preserve">P. E. McGovern, </w:t>
      </w:r>
      <w:r w:rsidRPr="00900729">
        <w:rPr>
          <w:lang w:val="en-US"/>
        </w:rPr>
        <w:t>University of Pennsylvania Museum Monograph 65</w:t>
      </w:r>
      <w:r>
        <w:rPr>
          <w:lang w:val="en-US"/>
        </w:rPr>
        <w:t>,</w:t>
      </w:r>
      <w:r w:rsidRPr="00900729">
        <w:rPr>
          <w:lang w:val="en-US"/>
        </w:rPr>
        <w:t xml:space="preserve"> Philadelphia: University of Pennsylvania Museu</w:t>
      </w:r>
      <w:r>
        <w:rPr>
          <w:lang w:val="en-US"/>
        </w:rPr>
        <w:t>m, 1986;</w:t>
      </w:r>
    </w:p>
    <w:p w14:paraId="74D76E0A" w14:textId="77777777" w:rsidR="00B27F75" w:rsidRDefault="00B27F75" w:rsidP="00885C33">
      <w:pPr>
        <w:pStyle w:val="FootnoteText"/>
        <w:ind w:left="720" w:hanging="720"/>
        <w:rPr>
          <w:lang w:val="en-US"/>
        </w:rPr>
      </w:pPr>
      <w:r>
        <w:rPr>
          <w:lang w:val="en-US"/>
        </w:rPr>
        <w:t xml:space="preserve">d) </w:t>
      </w:r>
      <w:r w:rsidRPr="002160AB">
        <w:rPr>
          <w:lang w:val="en-US"/>
        </w:rPr>
        <w:t>P. E. McGovern</w:t>
      </w:r>
      <w:r>
        <w:rPr>
          <w:lang w:val="en-US"/>
        </w:rPr>
        <w:t xml:space="preserve"> and </w:t>
      </w:r>
      <w:r w:rsidRPr="00F9454D">
        <w:rPr>
          <w:lang w:val="en-US"/>
        </w:rPr>
        <w:t>C. Wnuk</w:t>
      </w:r>
      <w:r>
        <w:rPr>
          <w:lang w:val="en-US"/>
        </w:rPr>
        <w:t>,</w:t>
      </w:r>
      <w:r w:rsidRPr="00F9454D">
        <w:rPr>
          <w:lang w:val="en-US"/>
        </w:rPr>
        <w:t xml:space="preserve"> Ceramic Technology I: Petrography, Firing, and Surface Decoration</w:t>
      </w:r>
      <w:r>
        <w:rPr>
          <w:lang w:val="en-US"/>
        </w:rPr>
        <w:t>, p</w:t>
      </w:r>
      <w:r w:rsidRPr="00F9454D">
        <w:rPr>
          <w:lang w:val="en-US"/>
        </w:rPr>
        <w:t xml:space="preserve">p. 181-190 in </w:t>
      </w:r>
      <w:r w:rsidRPr="00F9454D">
        <w:rPr>
          <w:i/>
          <w:lang w:val="en-US"/>
        </w:rPr>
        <w:t>The Wadi al-Jubah Archaeological Project</w:t>
      </w:r>
      <w:r>
        <w:rPr>
          <w:lang w:val="en-US"/>
        </w:rPr>
        <w:t>,</w:t>
      </w:r>
      <w:r w:rsidRPr="00F9454D">
        <w:rPr>
          <w:lang w:val="en-US"/>
        </w:rPr>
        <w:t xml:space="preserve"> </w:t>
      </w:r>
      <w:r>
        <w:rPr>
          <w:lang w:val="en-US"/>
        </w:rPr>
        <w:t>v</w:t>
      </w:r>
      <w:r w:rsidRPr="00F9454D">
        <w:rPr>
          <w:lang w:val="en-US"/>
        </w:rPr>
        <w:t>ol. 3 by W. D. Glanzman and A. O. Ghaleb, ed. L. J. Tiede and S. J. Fleming. Washington, D.C.: American Foundation for the Study of Man</w:t>
      </w:r>
      <w:r>
        <w:rPr>
          <w:lang w:val="en-US"/>
        </w:rPr>
        <w:t xml:space="preserve">, </w:t>
      </w:r>
      <w:r w:rsidRPr="00F9454D">
        <w:rPr>
          <w:lang w:val="en-US"/>
        </w:rPr>
        <w:t>1987</w:t>
      </w:r>
      <w:r>
        <w:rPr>
          <w:lang w:val="en-US"/>
        </w:rPr>
        <w:t>; (</w:t>
      </w:r>
      <w:hyperlink r:id="rId3" w:history="1">
        <w:r w:rsidRPr="00CE7C40">
          <w:rPr>
            <w:rStyle w:val="Hyperlink"/>
            <w:lang w:val="en-US"/>
          </w:rPr>
          <w:t>https://www.penn.museum/sites/biomoleculararchaeology/wp-content/uploads/2010/03/Jubahpottery1.pdf</w:t>
        </w:r>
      </w:hyperlink>
      <w:r>
        <w:rPr>
          <w:rStyle w:val="Hyperlink"/>
          <w:lang w:val="en-US"/>
        </w:rPr>
        <w:t>; accessed May 14, 2019</w:t>
      </w:r>
      <w:r>
        <w:rPr>
          <w:lang w:val="en-US"/>
        </w:rPr>
        <w:t>);</w:t>
      </w:r>
    </w:p>
    <w:p w14:paraId="07A57D1B" w14:textId="77777777" w:rsidR="00B27F75" w:rsidRDefault="00B27F75" w:rsidP="00885C33">
      <w:pPr>
        <w:pStyle w:val="FootnoteText"/>
        <w:ind w:left="720" w:hanging="720"/>
        <w:rPr>
          <w:lang w:val="en-US"/>
        </w:rPr>
      </w:pPr>
      <w:r>
        <w:rPr>
          <w:lang w:val="en-US"/>
        </w:rPr>
        <w:t xml:space="preserve">e) P. E. McGovern, </w:t>
      </w:r>
      <w:r w:rsidRPr="006C6B3F">
        <w:rPr>
          <w:lang w:val="en-US"/>
        </w:rPr>
        <w:t>Ancient Ceramic Technology and Stylistic Change</w:t>
      </w:r>
      <w:r>
        <w:rPr>
          <w:lang w:val="en-US"/>
        </w:rPr>
        <w:t>, p</w:t>
      </w:r>
      <w:r w:rsidRPr="006C6B3F">
        <w:rPr>
          <w:lang w:val="en-US"/>
        </w:rPr>
        <w:t xml:space="preserve">p. 63-81 in </w:t>
      </w:r>
      <w:r w:rsidRPr="00425E23">
        <w:rPr>
          <w:i/>
          <w:lang w:val="en-US"/>
        </w:rPr>
        <w:t>Scientific Analysis in Archaeology and its Interpretation</w:t>
      </w:r>
      <w:r w:rsidRPr="006C6B3F">
        <w:rPr>
          <w:lang w:val="en-US"/>
        </w:rPr>
        <w:t>, ed. J. Henderson</w:t>
      </w:r>
      <w:r>
        <w:rPr>
          <w:lang w:val="en-US"/>
        </w:rPr>
        <w:t xml:space="preserve">, </w:t>
      </w:r>
      <w:r w:rsidRPr="006C6B3F">
        <w:rPr>
          <w:lang w:val="en-US"/>
        </w:rPr>
        <w:t>Oxford University  Committee for Archaeology Monograph 19</w:t>
      </w:r>
      <w:r>
        <w:rPr>
          <w:lang w:val="en-US"/>
        </w:rPr>
        <w:t>,</w:t>
      </w:r>
      <w:r w:rsidRPr="006C6B3F">
        <w:rPr>
          <w:lang w:val="en-US"/>
        </w:rPr>
        <w:t xml:space="preserve"> UCLA Institute of Archaeology Archaeological Research Tools 5</w:t>
      </w:r>
      <w:r>
        <w:rPr>
          <w:lang w:val="en-US"/>
        </w:rPr>
        <w:t xml:space="preserve">, </w:t>
      </w:r>
      <w:r w:rsidRPr="006C6B3F">
        <w:rPr>
          <w:lang w:val="en-US"/>
        </w:rPr>
        <w:t>Oxford: Oxford University</w:t>
      </w:r>
      <w:r>
        <w:rPr>
          <w:lang w:val="en-US"/>
        </w:rPr>
        <w:t>, 1989; (</w:t>
      </w:r>
      <w:hyperlink r:id="rId4" w:history="1">
        <w:r w:rsidRPr="00CE7C40">
          <w:rPr>
            <w:rStyle w:val="Hyperlink"/>
            <w:lang w:val="en-US"/>
          </w:rPr>
          <w:t>https://www.penn.museum/sites/biomoleculararchaeology/wp-content/uploads/2010/03/PotterySWAsia1.pdf</w:t>
        </w:r>
      </w:hyperlink>
      <w:r>
        <w:rPr>
          <w:rStyle w:val="Hyperlink"/>
          <w:lang w:val="en-US"/>
        </w:rPr>
        <w:t>; accessed May 14, 2019</w:t>
      </w:r>
      <w:r>
        <w:rPr>
          <w:lang w:val="en-US"/>
        </w:rPr>
        <w:t>);</w:t>
      </w:r>
    </w:p>
    <w:p w14:paraId="72BD37DE" w14:textId="77777777" w:rsidR="00B27F75" w:rsidRDefault="00B27F75" w:rsidP="00885C33">
      <w:pPr>
        <w:pStyle w:val="FootnoteText"/>
        <w:ind w:left="720" w:hanging="720"/>
        <w:rPr>
          <w:lang w:val="en-US"/>
        </w:rPr>
      </w:pPr>
      <w:r>
        <w:rPr>
          <w:lang w:val="en-US"/>
        </w:rPr>
        <w:t xml:space="preserve">f) P. </w:t>
      </w:r>
      <w:r w:rsidRPr="002160AB">
        <w:rPr>
          <w:lang w:val="en-US"/>
        </w:rPr>
        <w:t xml:space="preserve">E. McGovern, G. Harbottle, </w:t>
      </w:r>
      <w:r>
        <w:rPr>
          <w:lang w:val="en-US"/>
        </w:rPr>
        <w:t xml:space="preserve">J. Huntoon, </w:t>
      </w:r>
      <w:r w:rsidRPr="002160AB">
        <w:rPr>
          <w:lang w:val="en-US"/>
        </w:rPr>
        <w:t>and C. Wnuk</w:t>
      </w:r>
      <w:r>
        <w:rPr>
          <w:lang w:val="en-US"/>
        </w:rPr>
        <w:t xml:space="preserve">, Ware Composition, Pyrotechnology, and Surface Treatment, pp. 80-94 in </w:t>
      </w:r>
      <w:r w:rsidRPr="008E4AF3">
        <w:rPr>
          <w:i/>
          <w:lang w:val="en-US"/>
        </w:rPr>
        <w:t>The Late Bronze Egyptian Garrison at Beth Shan: A Study of Levels VII and VIII</w:t>
      </w:r>
      <w:r w:rsidRPr="008E4AF3">
        <w:rPr>
          <w:lang w:val="en-US"/>
        </w:rPr>
        <w:t xml:space="preserve"> </w:t>
      </w:r>
      <w:r>
        <w:rPr>
          <w:lang w:val="en-US"/>
        </w:rPr>
        <w:t>by</w:t>
      </w:r>
      <w:r w:rsidRPr="008E4AF3">
        <w:rPr>
          <w:lang w:val="en-US"/>
        </w:rPr>
        <w:t xml:space="preserve"> F. W. James</w:t>
      </w:r>
      <w:r>
        <w:rPr>
          <w:lang w:val="en-US"/>
        </w:rPr>
        <w:t xml:space="preserve"> and P. E. McGovern,</w:t>
      </w:r>
      <w:r w:rsidRPr="008E4AF3">
        <w:rPr>
          <w:lang w:val="en-US"/>
        </w:rPr>
        <w:t xml:space="preserve"> University of Pennsylvania Museum Monograph 85</w:t>
      </w:r>
      <w:r>
        <w:rPr>
          <w:lang w:val="en-US"/>
        </w:rPr>
        <w:t xml:space="preserve">, </w:t>
      </w:r>
      <w:r w:rsidRPr="008E4AF3">
        <w:rPr>
          <w:lang w:val="en-US"/>
        </w:rPr>
        <w:t>Philadelphia: University of Pennsylvania Museum</w:t>
      </w:r>
      <w:r>
        <w:rPr>
          <w:lang w:val="en-US"/>
        </w:rPr>
        <w:t xml:space="preserve">, 1993; </w:t>
      </w:r>
    </w:p>
    <w:p w14:paraId="60152F4A" w14:textId="77777777" w:rsidR="00B27F75" w:rsidRDefault="00B27F75" w:rsidP="00885C33">
      <w:pPr>
        <w:pStyle w:val="FootnoteText"/>
        <w:ind w:left="720" w:hanging="720"/>
        <w:rPr>
          <w:lang w:val="en-US"/>
        </w:rPr>
      </w:pPr>
      <w:r>
        <w:rPr>
          <w:lang w:val="en-US"/>
        </w:rPr>
        <w:t xml:space="preserve">g) I. Freestone, Ceramic Petrography, pp. 111-115 in </w:t>
      </w:r>
      <w:r w:rsidRPr="00943B43">
        <w:rPr>
          <w:lang w:val="en-US"/>
        </w:rPr>
        <w:t>Science in Archaeology: A Review</w:t>
      </w:r>
      <w:r>
        <w:rPr>
          <w:lang w:val="en-US"/>
        </w:rPr>
        <w:t xml:space="preserve"> by P. E. McGovern, </w:t>
      </w:r>
      <w:r w:rsidRPr="00943B43">
        <w:rPr>
          <w:i/>
          <w:lang w:val="en-US"/>
        </w:rPr>
        <w:t>American Journal of Archaeology</w:t>
      </w:r>
      <w:r w:rsidRPr="00943B43">
        <w:rPr>
          <w:lang w:val="en-US"/>
        </w:rPr>
        <w:t xml:space="preserve"> 99</w:t>
      </w:r>
      <w:r>
        <w:rPr>
          <w:lang w:val="en-US"/>
        </w:rPr>
        <w:t xml:space="preserve"> (</w:t>
      </w:r>
      <w:r w:rsidRPr="00943B43">
        <w:rPr>
          <w:lang w:val="en-US"/>
        </w:rPr>
        <w:t>1995</w:t>
      </w:r>
      <w:r>
        <w:rPr>
          <w:lang w:val="en-US"/>
        </w:rPr>
        <w:t xml:space="preserve">), pp. </w:t>
      </w:r>
      <w:r w:rsidRPr="00943B43">
        <w:rPr>
          <w:lang w:val="en-US"/>
        </w:rPr>
        <w:t>79-142</w:t>
      </w:r>
      <w:r>
        <w:rPr>
          <w:lang w:val="en-US"/>
        </w:rPr>
        <w:t xml:space="preserve"> (</w:t>
      </w:r>
      <w:hyperlink r:id="rId5" w:history="1">
        <w:r w:rsidRPr="00CE7C40">
          <w:rPr>
            <w:rStyle w:val="Hyperlink"/>
            <w:lang w:val="en-US"/>
          </w:rPr>
          <w:t>https://www.penn.museum/sites/biomoleculararchaeology/wp-content/uploads/2010/04/scienceinarchaeology.pdf</w:t>
        </w:r>
      </w:hyperlink>
      <w:r>
        <w:rPr>
          <w:rStyle w:val="Hyperlink"/>
          <w:lang w:val="en-US"/>
        </w:rPr>
        <w:t>; accessed May 14, 2019</w:t>
      </w:r>
      <w:r>
        <w:rPr>
          <w:lang w:val="en-US"/>
        </w:rPr>
        <w:t>);</w:t>
      </w:r>
    </w:p>
    <w:p w14:paraId="27C41C9A" w14:textId="77777777" w:rsidR="00B27F75" w:rsidRDefault="00B27F75" w:rsidP="00885C33">
      <w:pPr>
        <w:pStyle w:val="FootnoteText"/>
        <w:ind w:left="720" w:hanging="720"/>
        <w:rPr>
          <w:lang w:val="en-US"/>
        </w:rPr>
      </w:pPr>
      <w:r>
        <w:rPr>
          <w:lang w:val="en-US"/>
        </w:rPr>
        <w:t xml:space="preserve">h) </w:t>
      </w:r>
      <w:r w:rsidRPr="009654F7">
        <w:rPr>
          <w:lang w:val="en-US"/>
        </w:rPr>
        <w:t>S. J. Vaughan, Ceramic Petrology and Petrography in the Aegean, pp. 115-117 in</w:t>
      </w:r>
      <w:r>
        <w:rPr>
          <w:lang w:val="en-US"/>
        </w:rPr>
        <w:t xml:space="preserve"> </w:t>
      </w:r>
      <w:r w:rsidRPr="00943B43">
        <w:rPr>
          <w:lang w:val="en-US"/>
        </w:rPr>
        <w:t>Science in Archaeology: A Review</w:t>
      </w:r>
      <w:r>
        <w:rPr>
          <w:lang w:val="en-US"/>
        </w:rPr>
        <w:t xml:space="preserve"> by P. E. McGovern, </w:t>
      </w:r>
      <w:r w:rsidRPr="00943B43">
        <w:rPr>
          <w:i/>
          <w:lang w:val="en-US"/>
        </w:rPr>
        <w:t>American Journal of Archaeology</w:t>
      </w:r>
      <w:r w:rsidRPr="00943B43">
        <w:rPr>
          <w:lang w:val="en-US"/>
        </w:rPr>
        <w:t xml:space="preserve"> 99</w:t>
      </w:r>
      <w:r>
        <w:rPr>
          <w:lang w:val="en-US"/>
        </w:rPr>
        <w:t xml:space="preserve"> (</w:t>
      </w:r>
      <w:r w:rsidRPr="00943B43">
        <w:rPr>
          <w:lang w:val="en-US"/>
        </w:rPr>
        <w:t>1995</w:t>
      </w:r>
      <w:r>
        <w:rPr>
          <w:lang w:val="en-US"/>
        </w:rPr>
        <w:t xml:space="preserve">), pp. </w:t>
      </w:r>
      <w:r w:rsidRPr="00943B43">
        <w:rPr>
          <w:lang w:val="en-US"/>
        </w:rPr>
        <w:t>79-142</w:t>
      </w:r>
      <w:r>
        <w:rPr>
          <w:lang w:val="en-US"/>
        </w:rPr>
        <w:t xml:space="preserve"> (</w:t>
      </w:r>
      <w:hyperlink r:id="rId6" w:history="1">
        <w:r w:rsidRPr="00CE7C40">
          <w:rPr>
            <w:rStyle w:val="Hyperlink"/>
            <w:lang w:val="en-US"/>
          </w:rPr>
          <w:t>https://www.penn.museum/sites/biomoleculararchaeology/wp-content/uploads/2010/04/scienceinarchaeology.pdf</w:t>
        </w:r>
      </w:hyperlink>
      <w:r>
        <w:rPr>
          <w:rStyle w:val="Hyperlink"/>
          <w:lang w:val="en-US"/>
        </w:rPr>
        <w:t>; accessed May 14, 2019</w:t>
      </w:r>
      <w:r>
        <w:rPr>
          <w:lang w:val="en-US"/>
        </w:rPr>
        <w:t>).</w:t>
      </w:r>
    </w:p>
    <w:p w14:paraId="2989F6F2" w14:textId="77777777" w:rsidR="00B27F75" w:rsidRPr="00900729" w:rsidRDefault="00B27F75" w:rsidP="00885C33">
      <w:pPr>
        <w:pStyle w:val="FootnoteText"/>
        <w:rPr>
          <w:lang w:val="en-US"/>
        </w:rPr>
      </w:pPr>
    </w:p>
    <w:p w14:paraId="2CD361D4" w14:textId="77777777" w:rsidR="00B27F75" w:rsidRPr="00D52718" w:rsidRDefault="00B27F75" w:rsidP="00885C33">
      <w:pPr>
        <w:pStyle w:val="FootnoteText"/>
        <w:rPr>
          <w:lang w:val="en-US"/>
        </w:rPr>
      </w:pPr>
    </w:p>
  </w:footnote>
  <w:footnote w:id="14">
    <w:p w14:paraId="445CD988" w14:textId="77777777" w:rsidR="00B27F75" w:rsidRPr="002D7BF2" w:rsidRDefault="00B27F75" w:rsidP="00885C33">
      <w:pPr>
        <w:pStyle w:val="FootnoteText"/>
        <w:rPr>
          <w:lang w:val="en-US"/>
        </w:rPr>
      </w:pPr>
      <w:r>
        <w:rPr>
          <w:rStyle w:val="FootnoteReference"/>
        </w:rPr>
        <w:footnoteRef/>
      </w:r>
      <w:r>
        <w:rPr>
          <w:lang w:val="en-US"/>
        </w:rPr>
        <w:t xml:space="preserve">Goren, Y., Finkelstein, I., and Na’aman, N., </w:t>
      </w:r>
      <w:r w:rsidRPr="00AE7DA1">
        <w:rPr>
          <w:i/>
          <w:lang w:val="en-US"/>
        </w:rPr>
        <w:t xml:space="preserve">Inscribed </w:t>
      </w:r>
      <w:r>
        <w:rPr>
          <w:i/>
          <w:lang w:val="en-US"/>
        </w:rPr>
        <w:t>i</w:t>
      </w:r>
      <w:r w:rsidRPr="00AE7DA1">
        <w:rPr>
          <w:i/>
          <w:lang w:val="en-US"/>
        </w:rPr>
        <w:t>n Clay: Provenance Study of the Amarna Tablets and other Ancient Near Eastern Texts</w:t>
      </w:r>
      <w:r>
        <w:rPr>
          <w:lang w:val="en-US"/>
        </w:rPr>
        <w:t xml:space="preserve">, </w:t>
      </w:r>
      <w:r w:rsidRPr="00AE7DA1">
        <w:rPr>
          <w:lang w:val="en-US"/>
        </w:rPr>
        <w:t>Monograph Series 23</w:t>
      </w:r>
      <w:r>
        <w:rPr>
          <w:lang w:val="en-US"/>
        </w:rPr>
        <w:t>, Tel Aviv:</w:t>
      </w:r>
      <w:r w:rsidRPr="00697FEB">
        <w:t xml:space="preserve"> </w:t>
      </w:r>
      <w:r w:rsidRPr="00697FEB">
        <w:rPr>
          <w:lang w:val="en-US"/>
        </w:rPr>
        <w:t>Emery and Claire Yass Publications in Archaeology</w:t>
      </w:r>
      <w:r>
        <w:rPr>
          <w:lang w:val="en-US"/>
        </w:rPr>
        <w:t xml:space="preserve">, </w:t>
      </w:r>
      <w:r w:rsidRPr="00697FEB">
        <w:rPr>
          <w:lang w:val="en-US"/>
        </w:rPr>
        <w:t>Institute of Archaeology, Tel Aviv University</w:t>
      </w:r>
      <w:r>
        <w:rPr>
          <w:lang w:val="en-US"/>
        </w:rPr>
        <w:t xml:space="preserve">, 2004.   Hereafter cited as </w:t>
      </w:r>
      <w:r w:rsidRPr="00AE7DA1">
        <w:rPr>
          <w:i/>
          <w:lang w:val="en-US"/>
        </w:rPr>
        <w:t xml:space="preserve">Inscribed </w:t>
      </w:r>
      <w:r>
        <w:rPr>
          <w:i/>
          <w:lang w:val="en-US"/>
        </w:rPr>
        <w:t>i</w:t>
      </w:r>
      <w:r w:rsidRPr="00AE7DA1">
        <w:rPr>
          <w:i/>
          <w:lang w:val="en-US"/>
        </w:rPr>
        <w:t>n Clay</w:t>
      </w:r>
      <w:r>
        <w:rPr>
          <w:lang w:val="en-US"/>
        </w:rPr>
        <w:t>.</w:t>
      </w:r>
    </w:p>
  </w:footnote>
  <w:footnote w:id="15">
    <w:p w14:paraId="3912163E" w14:textId="77777777" w:rsidR="00B27F75" w:rsidRDefault="00B27F75" w:rsidP="00885C33">
      <w:pPr>
        <w:pStyle w:val="FootnoteText"/>
        <w:rPr>
          <w:lang w:val="en-US"/>
        </w:rPr>
      </w:pPr>
      <w:r>
        <w:rPr>
          <w:rStyle w:val="FootnoteReference"/>
        </w:rPr>
        <w:footnoteRef/>
      </w:r>
      <w:r>
        <w:t xml:space="preserve">Y Goren, The Southern Levant in the Early Bronze Age IV: The Petrographic Perspective, </w:t>
      </w:r>
      <w:r>
        <w:rPr>
          <w:i/>
        </w:rPr>
        <w:t>Bulletin of the American Schools of Oriental Research</w:t>
      </w:r>
      <w:r>
        <w:t xml:space="preserve"> 303 (1996), pp. 33-72.</w:t>
      </w:r>
    </w:p>
  </w:footnote>
  <w:footnote w:id="16">
    <w:p w14:paraId="50DCDCCA" w14:textId="438E0CD5" w:rsidR="00B27F75" w:rsidRPr="00AD6CEA" w:rsidRDefault="00B27F75" w:rsidP="00F8247F">
      <w:pPr>
        <w:pStyle w:val="FootnoteText"/>
        <w:rPr>
          <w:lang w:val="en-US"/>
        </w:rPr>
      </w:pPr>
      <w:r>
        <w:rPr>
          <w:rStyle w:val="FootnoteReference"/>
        </w:rPr>
        <w:footnoteRef/>
      </w:r>
      <w:r w:rsidRPr="00036D06">
        <w:rPr>
          <w:lang w:val="en-US"/>
        </w:rPr>
        <w:t>P. S.</w:t>
      </w:r>
      <w:r>
        <w:rPr>
          <w:lang w:val="en-US"/>
        </w:rPr>
        <w:t xml:space="preserve"> </w:t>
      </w:r>
      <w:r w:rsidRPr="00036D06">
        <w:rPr>
          <w:lang w:val="en-US"/>
        </w:rPr>
        <w:t xml:space="preserve">Quinn, </w:t>
      </w:r>
      <w:r w:rsidRPr="00812CF6">
        <w:rPr>
          <w:i/>
          <w:lang w:val="en-US"/>
        </w:rPr>
        <w:t>Ceramic Petrography. The Interpretation of Archaeological Pottery and Related Artefacts in Thin Section</w:t>
      </w:r>
      <w:r w:rsidRPr="00036D06">
        <w:rPr>
          <w:lang w:val="en-US"/>
        </w:rPr>
        <w:t>, Oxford: Archaeopress, 2013</w:t>
      </w:r>
      <w:r>
        <w:rPr>
          <w:lang w:val="en-US"/>
        </w:rPr>
        <w:t xml:space="preserve"> and, as one case study of many, </w:t>
      </w:r>
      <w:r w:rsidRPr="00036D06">
        <w:rPr>
          <w:lang w:val="en-US"/>
        </w:rPr>
        <w:t>M</w:t>
      </w:r>
      <w:r>
        <w:rPr>
          <w:lang w:val="en-US"/>
        </w:rPr>
        <w:t>.</w:t>
      </w:r>
      <w:r w:rsidRPr="00036D06">
        <w:rPr>
          <w:lang w:val="en-US"/>
        </w:rPr>
        <w:t>-C</w:t>
      </w:r>
      <w:r>
        <w:rPr>
          <w:lang w:val="en-US"/>
        </w:rPr>
        <w:t xml:space="preserve">. </w:t>
      </w:r>
      <w:r w:rsidRPr="00036D06">
        <w:rPr>
          <w:lang w:val="en-US"/>
        </w:rPr>
        <w:t>Boileau</w:t>
      </w:r>
      <w:r>
        <w:rPr>
          <w:lang w:val="en-US"/>
        </w:rPr>
        <w:t xml:space="preserve">, </w:t>
      </w:r>
      <w:r w:rsidRPr="00AD6CEA">
        <w:rPr>
          <w:lang w:val="en-US"/>
        </w:rPr>
        <w:t xml:space="preserve">Petrographic </w:t>
      </w:r>
      <w:r>
        <w:rPr>
          <w:lang w:val="en-US"/>
        </w:rPr>
        <w:t>S</w:t>
      </w:r>
      <w:r w:rsidRPr="00AD6CEA">
        <w:rPr>
          <w:lang w:val="en-US"/>
        </w:rPr>
        <w:t>ignatures of the Tell ‘Acharneh</w:t>
      </w:r>
      <w:r>
        <w:rPr>
          <w:lang w:val="en-US"/>
        </w:rPr>
        <w:t xml:space="preserve"> </w:t>
      </w:r>
      <w:r w:rsidR="0075148E">
        <w:rPr>
          <w:lang w:val="en-US"/>
        </w:rPr>
        <w:t>C</w:t>
      </w:r>
      <w:r w:rsidR="0075148E" w:rsidRPr="00AD6CEA">
        <w:rPr>
          <w:lang w:val="en-US"/>
        </w:rPr>
        <w:t>eramics: A Diachronic Perspective</w:t>
      </w:r>
      <w:r w:rsidR="0075148E">
        <w:rPr>
          <w:lang w:val="en-US"/>
        </w:rPr>
        <w:t xml:space="preserve">, </w:t>
      </w:r>
      <w:r w:rsidR="0075148E" w:rsidRPr="00812CF6">
        <w:rPr>
          <w:i/>
          <w:lang w:val="en-US"/>
        </w:rPr>
        <w:t>Levant</w:t>
      </w:r>
      <w:r w:rsidRPr="00AD6CEA">
        <w:rPr>
          <w:lang w:val="en-US"/>
        </w:rPr>
        <w:t>,</w:t>
      </w:r>
      <w:r>
        <w:rPr>
          <w:lang w:val="en-US"/>
        </w:rPr>
        <w:t xml:space="preserve"> published on-line </w:t>
      </w:r>
      <w:r w:rsidRPr="00ED0F9B">
        <w:rPr>
          <w:lang w:val="en-US"/>
        </w:rPr>
        <w:t>22 Jun</w:t>
      </w:r>
      <w:r>
        <w:rPr>
          <w:lang w:val="en-US"/>
        </w:rPr>
        <w:t>e</w:t>
      </w:r>
      <w:r w:rsidRPr="00AD6CEA">
        <w:rPr>
          <w:lang w:val="en-US"/>
        </w:rPr>
        <w:t xml:space="preserve"> 2018</w:t>
      </w:r>
      <w:r>
        <w:rPr>
          <w:lang w:val="en-US"/>
        </w:rPr>
        <w:t>, pp. 1-19</w:t>
      </w:r>
      <w:r w:rsidR="005C1715">
        <w:rPr>
          <w:lang w:val="en-US"/>
        </w:rPr>
        <w:t>.</w:t>
      </w:r>
    </w:p>
  </w:footnote>
  <w:footnote w:id="17">
    <w:p w14:paraId="440EFF02" w14:textId="77777777" w:rsidR="00B27F75" w:rsidRPr="00DC4796" w:rsidRDefault="00B27F75" w:rsidP="00F8247F">
      <w:pPr>
        <w:pStyle w:val="FootnoteText"/>
        <w:rPr>
          <w:lang w:val="en-US"/>
        </w:rPr>
      </w:pPr>
      <w:r>
        <w:rPr>
          <w:rStyle w:val="FootnoteReference"/>
        </w:rPr>
        <w:footnoteRef/>
      </w:r>
      <w:r>
        <w:rPr>
          <w:lang w:val="en-US"/>
        </w:rPr>
        <w:t xml:space="preserve"> See, especially, H. Neff, et al., </w:t>
      </w:r>
      <w:r w:rsidRPr="00DC4796">
        <w:rPr>
          <w:lang w:val="en-US"/>
        </w:rPr>
        <w:t xml:space="preserve">Methodological </w:t>
      </w:r>
      <w:r>
        <w:rPr>
          <w:lang w:val="en-US"/>
        </w:rPr>
        <w:t>I</w:t>
      </w:r>
      <w:r w:rsidRPr="00DC4796">
        <w:rPr>
          <w:lang w:val="en-US"/>
        </w:rPr>
        <w:t xml:space="preserve">ssues in the </w:t>
      </w:r>
      <w:r>
        <w:rPr>
          <w:lang w:val="en-US"/>
        </w:rPr>
        <w:t>P</w:t>
      </w:r>
      <w:r w:rsidRPr="00DC4796">
        <w:rPr>
          <w:lang w:val="en-US"/>
        </w:rPr>
        <w:t>rovenance</w:t>
      </w:r>
      <w:r>
        <w:rPr>
          <w:lang w:val="en-US"/>
        </w:rPr>
        <w:t xml:space="preserve"> I</w:t>
      </w:r>
      <w:r w:rsidRPr="00DC4796">
        <w:rPr>
          <w:lang w:val="en-US"/>
        </w:rPr>
        <w:t>nvestigation of Early Formative Mesoamerican</w:t>
      </w:r>
    </w:p>
    <w:p w14:paraId="0E59D076" w14:textId="048A7E5D" w:rsidR="00B27F75" w:rsidRPr="005E4052" w:rsidRDefault="00B27F75" w:rsidP="00F8247F">
      <w:pPr>
        <w:pStyle w:val="FootnoteText"/>
        <w:rPr>
          <w:lang w:val="en-US"/>
        </w:rPr>
      </w:pPr>
      <w:r>
        <w:rPr>
          <w:lang w:val="en-US"/>
        </w:rPr>
        <w:t>C</w:t>
      </w:r>
      <w:r w:rsidRPr="00DC4796">
        <w:rPr>
          <w:lang w:val="en-US"/>
        </w:rPr>
        <w:t>eramics</w:t>
      </w:r>
      <w:r>
        <w:rPr>
          <w:lang w:val="en-US"/>
        </w:rPr>
        <w:t>,</w:t>
      </w:r>
      <w:r w:rsidRPr="00DC4796">
        <w:rPr>
          <w:lang w:val="en-US"/>
        </w:rPr>
        <w:t xml:space="preserve"> </w:t>
      </w:r>
      <w:r w:rsidRPr="00712566">
        <w:rPr>
          <w:i/>
          <w:lang w:val="en-US"/>
        </w:rPr>
        <w:t>Latin American Antiquity</w:t>
      </w:r>
      <w:r w:rsidRPr="00DC4796">
        <w:rPr>
          <w:lang w:val="en-US"/>
        </w:rPr>
        <w:t xml:space="preserve"> 17</w:t>
      </w:r>
      <w:r>
        <w:rPr>
          <w:lang w:val="en-US"/>
        </w:rPr>
        <w:t xml:space="preserve"> (</w:t>
      </w:r>
      <w:r w:rsidRPr="00DC4796">
        <w:rPr>
          <w:lang w:val="en-US"/>
        </w:rPr>
        <w:t>2006</w:t>
      </w:r>
      <w:r>
        <w:rPr>
          <w:lang w:val="en-US"/>
        </w:rPr>
        <w:t xml:space="preserve">), pp. </w:t>
      </w:r>
      <w:r w:rsidRPr="00DC4796">
        <w:rPr>
          <w:lang w:val="en-US"/>
        </w:rPr>
        <w:t>54-76.</w:t>
      </w:r>
    </w:p>
  </w:footnote>
  <w:footnote w:id="18">
    <w:p w14:paraId="16BBF970" w14:textId="431C02A8" w:rsidR="00B27F75" w:rsidRPr="00907082" w:rsidRDefault="00B27F75">
      <w:pPr>
        <w:pStyle w:val="FootnoteText"/>
        <w:rPr>
          <w:lang w:val="en-US"/>
        </w:rPr>
      </w:pPr>
      <w:r>
        <w:rPr>
          <w:rStyle w:val="FootnoteReference"/>
        </w:rPr>
        <w:footnoteRef/>
      </w:r>
      <w:r>
        <w:rPr>
          <w:lang w:val="en-US"/>
        </w:rPr>
        <w:t>A. Cohen-Weinberger, “</w:t>
      </w:r>
      <w:r w:rsidRPr="00287A19">
        <w:rPr>
          <w:lang w:val="en-US"/>
        </w:rPr>
        <w:t xml:space="preserve">Petrography </w:t>
      </w:r>
      <w:r>
        <w:rPr>
          <w:lang w:val="en-US"/>
        </w:rPr>
        <w:t>o</w:t>
      </w:r>
      <w:r w:rsidRPr="00287A19">
        <w:rPr>
          <w:lang w:val="en-US"/>
        </w:rPr>
        <w:t xml:space="preserve">f Middle Bronze 2 Age Pottery: Implications </w:t>
      </w:r>
      <w:r>
        <w:rPr>
          <w:lang w:val="en-US"/>
        </w:rPr>
        <w:t>t</w:t>
      </w:r>
      <w:r w:rsidRPr="00287A19">
        <w:rPr>
          <w:lang w:val="en-US"/>
        </w:rPr>
        <w:t>o Understanding Egypto-Cana</w:t>
      </w:r>
      <w:r>
        <w:rPr>
          <w:lang w:val="en-US"/>
        </w:rPr>
        <w:t>a</w:t>
      </w:r>
      <w:r w:rsidRPr="00287A19">
        <w:rPr>
          <w:lang w:val="en-US"/>
        </w:rPr>
        <w:t>nite Relations</w:t>
      </w:r>
      <w:r>
        <w:rPr>
          <w:lang w:val="en-US"/>
        </w:rPr>
        <w:t>,” unpublished Ph.D. dissertation, Tel Aviv University, 2007 [Heb.](</w:t>
      </w:r>
      <w:hyperlink r:id="rId7" w:history="1">
        <w:r w:rsidRPr="006D6FE8">
          <w:rPr>
            <w:rStyle w:val="Hyperlink"/>
            <w:lang w:val="en-US"/>
          </w:rPr>
          <w:t>http://primage.tau.ac.il/libraries/theses/arc/002310094.pdf</w:t>
        </w:r>
      </w:hyperlink>
      <w:r>
        <w:rPr>
          <w:lang w:val="en-US"/>
        </w:rPr>
        <w:t>; accessed May 14, 2019).</w:t>
      </w:r>
    </w:p>
  </w:footnote>
  <w:footnote w:id="19">
    <w:p w14:paraId="031CEE54" w14:textId="77777777" w:rsidR="00B27F75" w:rsidRPr="0010202B" w:rsidRDefault="00B27F75" w:rsidP="00AA0721">
      <w:pPr>
        <w:pStyle w:val="FootnoteText"/>
        <w:rPr>
          <w:lang w:val="en-US"/>
        </w:rPr>
      </w:pPr>
      <w:r>
        <w:rPr>
          <w:rStyle w:val="FootnoteReference"/>
        </w:rPr>
        <w:footnoteRef/>
      </w:r>
      <w:r>
        <w:rPr>
          <w:lang w:val="en-US"/>
        </w:rPr>
        <w:t xml:space="preserve">Y. Goren, </w:t>
      </w:r>
      <w:r>
        <w:rPr>
          <w:i/>
          <w:lang w:val="en-US"/>
        </w:rPr>
        <w:t xml:space="preserve">Bibliotheca </w:t>
      </w:r>
      <w:r w:rsidRPr="00250F5D">
        <w:rPr>
          <w:i/>
          <w:lang w:val="en-US"/>
        </w:rPr>
        <w:t>Orientalis</w:t>
      </w:r>
      <w:r>
        <w:rPr>
          <w:lang w:val="en-US"/>
        </w:rPr>
        <w:t xml:space="preserve">, 60 (2003), pp. 106-109, and </w:t>
      </w:r>
      <w:r w:rsidRPr="00250F5D">
        <w:rPr>
          <w:lang w:val="en-US"/>
        </w:rPr>
        <w:t>D</w:t>
      </w:r>
      <w:r w:rsidRPr="002B0CC6">
        <w:rPr>
          <w:lang w:val="en-US"/>
        </w:rPr>
        <w:t xml:space="preserve">. A. Aston, </w:t>
      </w:r>
      <w:r w:rsidRPr="00250F5D">
        <w:rPr>
          <w:i/>
          <w:lang w:val="en-US"/>
        </w:rPr>
        <w:t>Journal of Egyptian Archaeology</w:t>
      </w:r>
      <w:r w:rsidRPr="002B0CC6">
        <w:rPr>
          <w:lang w:val="en-US"/>
        </w:rPr>
        <w:t xml:space="preserve"> 90 (2004), pp. 233-237</w:t>
      </w:r>
      <w:r>
        <w:rPr>
          <w:lang w:val="en-US"/>
        </w:rPr>
        <w:t>.</w:t>
      </w:r>
    </w:p>
  </w:footnote>
  <w:footnote w:id="20">
    <w:p w14:paraId="07EFBEF2" w14:textId="77777777" w:rsidR="00B27F75" w:rsidRPr="00333A6B" w:rsidRDefault="00B27F75">
      <w:pPr>
        <w:pStyle w:val="FootnoteText"/>
        <w:rPr>
          <w:i/>
        </w:rPr>
      </w:pPr>
      <w:r w:rsidRPr="00C53A71">
        <w:rPr>
          <w:rStyle w:val="FootnoteReference"/>
        </w:rPr>
        <w:footnoteRef/>
      </w:r>
      <w:bookmarkStart w:id="24" w:name="_Hlk5857519"/>
      <w:r w:rsidRPr="00C53A71">
        <w:t>N. Porat and Y. Goren, Petrography of the Naqada IIIa Canaanite Pottery from Tomb U-j in Abydos</w:t>
      </w:r>
      <w:r w:rsidRPr="00AC310C">
        <w:t xml:space="preserve">, pp. </w:t>
      </w:r>
      <w:r>
        <w:t>466-481</w:t>
      </w:r>
      <w:r w:rsidRPr="00AC310C">
        <w:t xml:space="preserve"> in </w:t>
      </w:r>
      <w:r w:rsidRPr="002615D2">
        <w:rPr>
          <w:i/>
        </w:rPr>
        <w:t>Umm el-Qaab II: Importkeramik aus dem Friedhof U in Abydos (Umm el-Qaab) und die Beziehungen ägyptens zu Vorderasien im 4. Jahrtausend v. Chr.</w:t>
      </w:r>
      <w:r>
        <w:rPr>
          <w:i/>
        </w:rPr>
        <w:t xml:space="preserve"> </w:t>
      </w:r>
      <w:r w:rsidRPr="00AC310C">
        <w:t>by U</w:t>
      </w:r>
      <w:r>
        <w:t>.</w:t>
      </w:r>
      <w:r w:rsidRPr="00AC310C">
        <w:t xml:space="preserve"> Hartung, </w:t>
      </w:r>
      <w:r w:rsidRPr="000C4A12">
        <w:rPr>
          <w:lang w:val="en-US"/>
        </w:rPr>
        <w:t>German Institute of Archaeology</w:t>
      </w:r>
      <w:r>
        <w:rPr>
          <w:lang w:val="en-US"/>
        </w:rPr>
        <w:t xml:space="preserve"> at Cairo Archaeological Publications 93</w:t>
      </w:r>
      <w:r>
        <w:t xml:space="preserve">, </w:t>
      </w:r>
      <w:r w:rsidRPr="00AC310C">
        <w:t>Mainz: P. von Zabern, 2001</w:t>
      </w:r>
      <w:r>
        <w:t xml:space="preserve">; </w:t>
      </w:r>
      <w:r>
        <w:rPr>
          <w:i/>
        </w:rPr>
        <w:t>idem</w:t>
      </w:r>
      <w:r>
        <w:t xml:space="preserve">, </w:t>
      </w:r>
      <w:r w:rsidRPr="00C53A71">
        <w:t>Petrography of the Naqada IIIa Canaanite Pottery from Tomb U-j in Abydos</w:t>
      </w:r>
      <w:r w:rsidRPr="00AC310C">
        <w:t xml:space="preserve">, </w:t>
      </w:r>
      <w:r>
        <w:t xml:space="preserve">pp. 252-270 in </w:t>
      </w:r>
      <w:r w:rsidRPr="00B13068">
        <w:rPr>
          <w:i/>
        </w:rPr>
        <w:t>Egypt and the Levant: Interrelations from the 4</w:t>
      </w:r>
      <w:r w:rsidRPr="00333A6B">
        <w:rPr>
          <w:i/>
          <w:vertAlign w:val="superscript"/>
        </w:rPr>
        <w:t>th</w:t>
      </w:r>
      <w:r w:rsidRPr="00B13068">
        <w:rPr>
          <w:i/>
        </w:rPr>
        <w:t xml:space="preserve"> through the Early 3</w:t>
      </w:r>
      <w:r w:rsidRPr="00333A6B">
        <w:rPr>
          <w:i/>
          <w:vertAlign w:val="superscript"/>
        </w:rPr>
        <w:t>rd</w:t>
      </w:r>
      <w:r w:rsidRPr="00B13068">
        <w:rPr>
          <w:i/>
        </w:rPr>
        <w:t xml:space="preserve"> Millennium B.C.E.</w:t>
      </w:r>
      <w:r>
        <w:t xml:space="preserve">, eds. </w:t>
      </w:r>
      <w:r w:rsidRPr="00B13068">
        <w:t>E. C. M. van den Brink</w:t>
      </w:r>
      <w:r>
        <w:t xml:space="preserve"> and</w:t>
      </w:r>
      <w:r w:rsidRPr="00B13068">
        <w:t xml:space="preserve"> T</w:t>
      </w:r>
      <w:r>
        <w:t>.</w:t>
      </w:r>
      <w:r w:rsidRPr="00B13068">
        <w:t xml:space="preserve"> E. Levy</w:t>
      </w:r>
      <w:r>
        <w:t xml:space="preserve">, London and New York: </w:t>
      </w:r>
      <w:r w:rsidRPr="00333A6B">
        <w:t>Bloomsbury T&amp;T Clark</w:t>
      </w:r>
      <w:r>
        <w:t>, 2001.</w:t>
      </w:r>
      <w:bookmarkEnd w:id="24"/>
    </w:p>
  </w:footnote>
  <w:footnote w:id="21">
    <w:p w14:paraId="137D06C3" w14:textId="27EBEE38" w:rsidR="00B27F75" w:rsidRPr="000C4A12" w:rsidRDefault="00B27F75">
      <w:pPr>
        <w:pStyle w:val="FootnoteText"/>
        <w:rPr>
          <w:lang w:val="en-US"/>
        </w:rPr>
      </w:pPr>
      <w:r w:rsidRPr="000C4A12">
        <w:rPr>
          <w:rStyle w:val="FootnoteReference"/>
        </w:rPr>
        <w:footnoteRef/>
      </w:r>
      <w:r w:rsidRPr="000C4A12">
        <w:rPr>
          <w:lang w:val="en-US"/>
        </w:rPr>
        <w:t xml:space="preserve">P. E. McGovern, The Origins of the Tomb U-j Syro-Palestinian Type Jars as Determined by Neutron Activation Analysis, pp. 407-416 </w:t>
      </w:r>
      <w:r w:rsidRPr="000C4A12">
        <w:rPr>
          <w:i/>
          <w:lang w:val="en-US"/>
        </w:rPr>
        <w:t>in Umm el-Qaab II: Importkeramik aus dem Friedhof U in Abydos (Umm el-Qaab) und die Beziehungen ägyptens zu Vorderasien im 4. Jahrtausend v. Chr.</w:t>
      </w:r>
      <w:r w:rsidRPr="000C4A12">
        <w:rPr>
          <w:lang w:val="en-US"/>
        </w:rPr>
        <w:t xml:space="preserve"> by </w:t>
      </w:r>
      <w:r>
        <w:rPr>
          <w:lang w:val="en-US"/>
        </w:rPr>
        <w:t>U.</w:t>
      </w:r>
      <w:r w:rsidRPr="000C4A12">
        <w:rPr>
          <w:lang w:val="en-US"/>
        </w:rPr>
        <w:t xml:space="preserve"> Hartung, German Institute of Archaeology</w:t>
      </w:r>
      <w:r>
        <w:rPr>
          <w:lang w:val="en-US"/>
        </w:rPr>
        <w:t xml:space="preserve"> at Cairo Archaeological Publications 93</w:t>
      </w:r>
      <w:r w:rsidRPr="000C4A12">
        <w:rPr>
          <w:lang w:val="en-US"/>
        </w:rPr>
        <w:t>, Mainz: P. von Zabern, 2001</w:t>
      </w:r>
      <w:r>
        <w:rPr>
          <w:lang w:val="en-US"/>
        </w:rPr>
        <w:t xml:space="preserve"> (</w:t>
      </w:r>
      <w:hyperlink r:id="rId8" w:history="1">
        <w:r w:rsidRPr="00E93BAF">
          <w:rPr>
            <w:rStyle w:val="Hyperlink"/>
            <w:lang w:val="en-US"/>
          </w:rPr>
          <w:t>https://www.penn.museum/sites/biomoleculararchaeology/wp-content/uploads/2010/04/UmmelQaab.pdf</w:t>
        </w:r>
      </w:hyperlink>
      <w:r>
        <w:rPr>
          <w:rStyle w:val="Hyperlink"/>
          <w:lang w:val="en-US"/>
        </w:rPr>
        <w:t>; accessed May 14, 2019</w:t>
      </w:r>
      <w:r>
        <w:rPr>
          <w:lang w:val="en-US"/>
        </w:rPr>
        <w:t xml:space="preserve">); </w:t>
      </w:r>
      <w:r w:rsidRPr="000C4A12">
        <w:rPr>
          <w:lang w:val="en-US"/>
        </w:rPr>
        <w:t>P. E. McGovern</w:t>
      </w:r>
      <w:r>
        <w:rPr>
          <w:lang w:val="en-US"/>
        </w:rPr>
        <w:t>,</w:t>
      </w:r>
      <w:r w:rsidRPr="00FC65B8">
        <w:rPr>
          <w:lang w:val="en-US"/>
        </w:rPr>
        <w:t xml:space="preserve"> U. Hartung, V. R. Badler, D. L. Glusker, and L. J. Exner </w:t>
      </w:r>
      <w:r>
        <w:rPr>
          <w:lang w:val="en-US"/>
        </w:rPr>
        <w:t xml:space="preserve"> </w:t>
      </w:r>
      <w:r w:rsidRPr="00FC65B8">
        <w:rPr>
          <w:lang w:val="en-US"/>
        </w:rPr>
        <w:t>The Beginnings of Winemaking and Viniculture in the Ancient Near East and Egypt</w:t>
      </w:r>
      <w:r>
        <w:rPr>
          <w:lang w:val="en-US"/>
        </w:rPr>
        <w:t>,</w:t>
      </w:r>
      <w:r w:rsidRPr="00FC65B8">
        <w:rPr>
          <w:lang w:val="en-US"/>
        </w:rPr>
        <w:t xml:space="preserve"> </w:t>
      </w:r>
      <w:r w:rsidRPr="00D82F01">
        <w:rPr>
          <w:i/>
          <w:lang w:val="en-US"/>
        </w:rPr>
        <w:t>Expedition</w:t>
      </w:r>
      <w:r w:rsidRPr="00FC65B8">
        <w:rPr>
          <w:lang w:val="en-US"/>
        </w:rPr>
        <w:t xml:space="preserve"> 39</w:t>
      </w:r>
      <w:r>
        <w:rPr>
          <w:lang w:val="en-US"/>
        </w:rPr>
        <w:t xml:space="preserve"> (</w:t>
      </w:r>
      <w:r w:rsidRPr="00FC65B8">
        <w:rPr>
          <w:lang w:val="en-US"/>
        </w:rPr>
        <w:t>1997</w:t>
      </w:r>
      <w:r>
        <w:rPr>
          <w:lang w:val="en-US"/>
        </w:rPr>
        <w:t>), pp.</w:t>
      </w:r>
      <w:r w:rsidRPr="00FC65B8">
        <w:rPr>
          <w:lang w:val="en-US"/>
        </w:rPr>
        <w:t xml:space="preserve"> 3-21</w:t>
      </w:r>
      <w:r>
        <w:rPr>
          <w:lang w:val="en-US"/>
        </w:rPr>
        <w:t xml:space="preserve"> (</w:t>
      </w:r>
      <w:hyperlink r:id="rId9" w:history="1">
        <w:r w:rsidRPr="00E93BAF">
          <w:rPr>
            <w:rStyle w:val="Hyperlink"/>
            <w:lang w:val="en-US"/>
          </w:rPr>
          <w:t>https://www.penn.museum/sites/biomoleculararchaeology/wp-content/uploads/2010/04/The%20Beginnings.pdf</w:t>
        </w:r>
      </w:hyperlink>
      <w:r>
        <w:rPr>
          <w:rStyle w:val="Hyperlink"/>
          <w:lang w:val="en-US"/>
        </w:rPr>
        <w:t>; accessed May 14, 2019</w:t>
      </w:r>
      <w:r>
        <w:rPr>
          <w:lang w:val="en-US"/>
        </w:rPr>
        <w:t>).</w:t>
      </w:r>
    </w:p>
  </w:footnote>
  <w:footnote w:id="22">
    <w:p w14:paraId="3E791DD4" w14:textId="211EAC3E" w:rsidR="00B27F75" w:rsidRPr="00D87E22" w:rsidRDefault="00B27F75">
      <w:pPr>
        <w:pStyle w:val="FootnoteText"/>
        <w:rPr>
          <w:lang w:val="en-US"/>
        </w:rPr>
      </w:pPr>
      <w:r>
        <w:rPr>
          <w:rStyle w:val="FootnoteReference"/>
        </w:rPr>
        <w:footnoteRef/>
      </w:r>
      <w:r w:rsidRPr="00D87E22">
        <w:rPr>
          <w:lang w:val="en-US"/>
        </w:rPr>
        <w:t xml:space="preserve">P. E. McGovern, D. R. Glusker, and L. E. Exner, The Organic Contents of the Tomb U-j Syro-Palestinian Type Jars: Resinated Wine FlavoredwWith Fig, pp. 399-403 in </w:t>
      </w:r>
      <w:r w:rsidRPr="00D87E22">
        <w:rPr>
          <w:i/>
          <w:lang w:val="en-US"/>
        </w:rPr>
        <w:t>Umm el-Qaab II: Importkeramik aus dem Friedhof U in Abydos (Umm el-Qaab) und die Beziehungen ägyptens zu Vorderasien im 4. Jahrtausend v. Chr.</w:t>
      </w:r>
      <w:r w:rsidRPr="00D87E22">
        <w:rPr>
          <w:lang w:val="en-US"/>
        </w:rPr>
        <w:t xml:space="preserve"> by U. Hartung, German Institute of Archaeology at</w:t>
      </w:r>
      <w:r>
        <w:rPr>
          <w:lang w:val="en-US"/>
        </w:rPr>
        <w:t xml:space="preserve"> </w:t>
      </w:r>
      <w:r w:rsidRPr="00D87E22">
        <w:rPr>
          <w:lang w:val="en-US"/>
        </w:rPr>
        <w:t>Cairo Archaeological Publications 93, Mainz: P. von Zabern, 2001</w:t>
      </w:r>
      <w:r>
        <w:rPr>
          <w:lang w:val="en-US"/>
        </w:rPr>
        <w:t xml:space="preserve"> </w:t>
      </w:r>
      <w:r w:rsidRPr="00D87E22">
        <w:rPr>
          <w:i/>
          <w:lang w:val="en-US"/>
        </w:rPr>
        <w:t>(</w:t>
      </w:r>
      <w:hyperlink r:id="rId10" w:history="1">
        <w:r w:rsidRPr="00D87E22">
          <w:rPr>
            <w:rStyle w:val="Hyperlink"/>
            <w:i/>
            <w:lang w:val="en-US"/>
          </w:rPr>
          <w:t>https://www.penn.museum/sites/biomoleculararchaeology/wp-content/uploads/2010/04/UmmelQaab.pdf</w:t>
        </w:r>
      </w:hyperlink>
      <w:r>
        <w:rPr>
          <w:rStyle w:val="Hyperlink"/>
          <w:lang w:val="en-US"/>
        </w:rPr>
        <w:t>; accessed May 14, 2019</w:t>
      </w:r>
      <w:r w:rsidRPr="00D87E22">
        <w:rPr>
          <w:i/>
          <w:lang w:val="en-US"/>
        </w:rPr>
        <w:t>)</w:t>
      </w:r>
      <w:r>
        <w:rPr>
          <w:lang w:val="en-US"/>
        </w:rPr>
        <w:t>.</w:t>
      </w:r>
    </w:p>
  </w:footnote>
  <w:footnote w:id="23">
    <w:p w14:paraId="477A250B" w14:textId="32DFE05E" w:rsidR="00B27F75" w:rsidRPr="00D87E22" w:rsidRDefault="00B27F75">
      <w:pPr>
        <w:pStyle w:val="FootnoteText"/>
        <w:rPr>
          <w:lang w:val="en-US"/>
        </w:rPr>
      </w:pPr>
      <w:r>
        <w:rPr>
          <w:rStyle w:val="FootnoteReference"/>
        </w:rPr>
        <w:footnoteRef/>
      </w:r>
      <w:r>
        <w:rPr>
          <w:lang w:val="en-US"/>
        </w:rPr>
        <w:t>P. E. McGovern,</w:t>
      </w:r>
      <w:r w:rsidRPr="00471AFA">
        <w:rPr>
          <w:lang w:val="en-US"/>
        </w:rPr>
        <w:t xml:space="preserve"> A</w:t>
      </w:r>
      <w:r>
        <w:rPr>
          <w:lang w:val="en-US"/>
        </w:rPr>
        <w:t>.</w:t>
      </w:r>
      <w:r w:rsidRPr="00471AFA">
        <w:rPr>
          <w:lang w:val="en-US"/>
        </w:rPr>
        <w:t xml:space="preserve"> Mirzoian</w:t>
      </w:r>
      <w:r>
        <w:rPr>
          <w:lang w:val="en-US"/>
        </w:rPr>
        <w:t>,</w:t>
      </w:r>
      <w:r w:rsidRPr="00471AFA">
        <w:rPr>
          <w:lang w:val="en-US"/>
        </w:rPr>
        <w:t xml:space="preserve"> and G</w:t>
      </w:r>
      <w:r>
        <w:rPr>
          <w:lang w:val="en-US"/>
        </w:rPr>
        <w:t>.</w:t>
      </w:r>
      <w:r w:rsidRPr="00471AFA">
        <w:rPr>
          <w:lang w:val="en-US"/>
        </w:rPr>
        <w:t xml:space="preserve"> R. Hall</w:t>
      </w:r>
      <w:r>
        <w:rPr>
          <w:lang w:val="en-US"/>
        </w:rPr>
        <w:t xml:space="preserve">, </w:t>
      </w:r>
      <w:r w:rsidRPr="00471AFA">
        <w:rPr>
          <w:lang w:val="en-US"/>
        </w:rPr>
        <w:t>Ancient Egyptian Herbal Wines</w:t>
      </w:r>
      <w:r>
        <w:rPr>
          <w:lang w:val="en-US"/>
        </w:rPr>
        <w:t xml:space="preserve">, </w:t>
      </w:r>
      <w:r w:rsidRPr="00471AFA">
        <w:rPr>
          <w:i/>
          <w:lang w:val="en-US"/>
        </w:rPr>
        <w:t>Proceedings of the National Academy of Sciences USA</w:t>
      </w:r>
      <w:r w:rsidRPr="00471AFA">
        <w:rPr>
          <w:lang w:val="en-US"/>
        </w:rPr>
        <w:t xml:space="preserve"> 106</w:t>
      </w:r>
      <w:r>
        <w:rPr>
          <w:lang w:val="en-US"/>
        </w:rPr>
        <w:t xml:space="preserve"> (</w:t>
      </w:r>
      <w:r w:rsidRPr="00471AFA">
        <w:rPr>
          <w:lang w:val="en-US"/>
        </w:rPr>
        <w:t>2009</w:t>
      </w:r>
      <w:r>
        <w:rPr>
          <w:lang w:val="en-US"/>
        </w:rPr>
        <w:t>), pp.</w:t>
      </w:r>
      <w:r w:rsidRPr="00471AFA">
        <w:rPr>
          <w:lang w:val="en-US"/>
        </w:rPr>
        <w:t xml:space="preserve"> 7361-7366</w:t>
      </w:r>
      <w:r>
        <w:rPr>
          <w:lang w:val="en-US"/>
        </w:rPr>
        <w:t xml:space="preserve"> (</w:t>
      </w:r>
      <w:hyperlink r:id="rId11" w:history="1">
        <w:r w:rsidRPr="00E93BAF">
          <w:rPr>
            <w:rStyle w:val="Hyperlink"/>
            <w:lang w:val="en-US"/>
          </w:rPr>
          <w:t>https://www.penn.museum/sites/biomoleculararchaeology/wp-content/uploads/2010/04/PNASEgyptherb.pdf</w:t>
        </w:r>
      </w:hyperlink>
      <w:r>
        <w:rPr>
          <w:rStyle w:val="Hyperlink"/>
          <w:lang w:val="en-US"/>
        </w:rPr>
        <w:t>; accessed May 14, 2019</w:t>
      </w:r>
      <w:r>
        <w:rPr>
          <w:lang w:val="en-US"/>
        </w:rPr>
        <w:t>);</w:t>
      </w:r>
      <w:r w:rsidRPr="002F5BAD">
        <w:rPr>
          <w:lang w:val="en-US"/>
        </w:rPr>
        <w:t xml:space="preserve"> </w:t>
      </w:r>
      <w:r>
        <w:rPr>
          <w:lang w:val="en-US"/>
        </w:rPr>
        <w:t>P. E. McGovern,</w:t>
      </w:r>
      <w:r w:rsidRPr="00471AFA">
        <w:rPr>
          <w:lang w:val="en-US"/>
        </w:rPr>
        <w:t xml:space="preserve"> </w:t>
      </w:r>
      <w:r>
        <w:rPr>
          <w:lang w:val="en-US"/>
        </w:rPr>
        <w:t xml:space="preserve">et al., </w:t>
      </w:r>
      <w:r w:rsidRPr="002F5BAD">
        <w:rPr>
          <w:lang w:val="en-US"/>
        </w:rPr>
        <w:t xml:space="preserve">Anticancer Activity </w:t>
      </w:r>
      <w:r>
        <w:rPr>
          <w:lang w:val="en-US"/>
        </w:rPr>
        <w:t>o</w:t>
      </w:r>
      <w:r w:rsidRPr="002F5BAD">
        <w:rPr>
          <w:lang w:val="en-US"/>
        </w:rPr>
        <w:t xml:space="preserve">f Botanical Compounds </w:t>
      </w:r>
      <w:r>
        <w:rPr>
          <w:lang w:val="en-US"/>
        </w:rPr>
        <w:t>i</w:t>
      </w:r>
      <w:r w:rsidRPr="002F5BAD">
        <w:rPr>
          <w:lang w:val="en-US"/>
        </w:rPr>
        <w:t xml:space="preserve">n Ancient </w:t>
      </w:r>
      <w:bookmarkStart w:id="25" w:name="_Hlk5010065"/>
      <w:r w:rsidRPr="002F5BAD">
        <w:rPr>
          <w:lang w:val="en-US"/>
        </w:rPr>
        <w:t>Fermented Beverages (Review)</w:t>
      </w:r>
      <w:r>
        <w:rPr>
          <w:lang w:val="en-US"/>
        </w:rPr>
        <w:t>,</w:t>
      </w:r>
      <w:r w:rsidRPr="002F5BAD">
        <w:rPr>
          <w:lang w:val="en-US"/>
        </w:rPr>
        <w:t xml:space="preserve"> </w:t>
      </w:r>
      <w:bookmarkStart w:id="26" w:name="_Hlk5010031"/>
      <w:bookmarkEnd w:id="25"/>
      <w:r w:rsidRPr="002F5BAD">
        <w:rPr>
          <w:i/>
          <w:lang w:val="en-US"/>
        </w:rPr>
        <w:t>International Journal of Oncology</w:t>
      </w:r>
      <w:r w:rsidRPr="002F5BAD">
        <w:rPr>
          <w:lang w:val="en-US"/>
        </w:rPr>
        <w:t xml:space="preserve"> 37</w:t>
      </w:r>
      <w:r>
        <w:rPr>
          <w:lang w:val="en-US"/>
        </w:rPr>
        <w:t xml:space="preserve"> (</w:t>
      </w:r>
      <w:r w:rsidRPr="002F5BAD">
        <w:rPr>
          <w:lang w:val="en-US"/>
        </w:rPr>
        <w:t>2010</w:t>
      </w:r>
      <w:r>
        <w:rPr>
          <w:lang w:val="en-US"/>
        </w:rPr>
        <w:t>), pp.</w:t>
      </w:r>
      <w:r w:rsidRPr="002F5BAD">
        <w:rPr>
          <w:lang w:val="en-US"/>
        </w:rPr>
        <w:t xml:space="preserve"> 5-14</w:t>
      </w:r>
      <w:bookmarkEnd w:id="26"/>
      <w:r>
        <w:rPr>
          <w:lang w:val="en-US"/>
        </w:rPr>
        <w:t xml:space="preserve"> (</w:t>
      </w:r>
      <w:hyperlink r:id="rId12" w:history="1">
        <w:r w:rsidRPr="00E93BAF">
          <w:rPr>
            <w:rStyle w:val="Hyperlink"/>
            <w:lang w:val="en-US"/>
          </w:rPr>
          <w:t>https://www.penn.museum/sites/biomoleculararchaeology/wp-content/uploads/2010/03/AnticancerIJO.pdf</w:t>
        </w:r>
      </w:hyperlink>
      <w:r>
        <w:rPr>
          <w:rStyle w:val="Hyperlink"/>
          <w:lang w:val="en-US"/>
        </w:rPr>
        <w:t>; accessed May 14, 2019</w:t>
      </w:r>
      <w:r>
        <w:rPr>
          <w:lang w:val="en-US"/>
        </w:rPr>
        <w:t>)</w:t>
      </w:r>
      <w:r w:rsidRPr="002323DA">
        <w:rPr>
          <w:lang w:val="en-US"/>
        </w:rPr>
        <w:t>.</w:t>
      </w:r>
    </w:p>
  </w:footnote>
  <w:footnote w:id="24">
    <w:p w14:paraId="33EC030B" w14:textId="77777777" w:rsidR="00B27F75" w:rsidRPr="00643338" w:rsidRDefault="00B27F75">
      <w:pPr>
        <w:pStyle w:val="FootnoteText"/>
        <w:rPr>
          <w:lang w:val="en-US"/>
        </w:rPr>
      </w:pPr>
      <w:r>
        <w:rPr>
          <w:rStyle w:val="FootnoteReference"/>
        </w:rPr>
        <w:footnoteRef/>
      </w:r>
      <w:r>
        <w:rPr>
          <w:lang w:val="en-US"/>
        </w:rPr>
        <w:t xml:space="preserve">P. E. McGovern, </w:t>
      </w:r>
      <w:r w:rsidRPr="00D82F01">
        <w:rPr>
          <w:i/>
          <w:lang w:val="en-US"/>
        </w:rPr>
        <w:t>Ancient Wine: The Search for the Origins of Viniculture</w:t>
      </w:r>
      <w:r>
        <w:rPr>
          <w:lang w:val="en-US"/>
        </w:rPr>
        <w:t xml:space="preserve">, </w:t>
      </w:r>
      <w:r w:rsidRPr="00D82F01">
        <w:rPr>
          <w:lang w:val="en-US"/>
        </w:rPr>
        <w:t>Princeton: Princeton University</w:t>
      </w:r>
      <w:r>
        <w:rPr>
          <w:lang w:val="en-US"/>
        </w:rPr>
        <w:t xml:space="preserve">, </w:t>
      </w:r>
      <w:r w:rsidRPr="00D82F01">
        <w:rPr>
          <w:lang w:val="en-US"/>
        </w:rPr>
        <w:t>2003/2006</w:t>
      </w:r>
      <w:r>
        <w:rPr>
          <w:lang w:val="en-US"/>
        </w:rPr>
        <w:t xml:space="preserve">/2019, pp. 91-106; P. E. McGovern, </w:t>
      </w:r>
      <w:r w:rsidRPr="00A9501E">
        <w:rPr>
          <w:i/>
          <w:lang w:val="en-US"/>
        </w:rPr>
        <w:t>Uncorking the Past: The Quest for Wine, Beer, and Other Alcoholic Beverages</w:t>
      </w:r>
      <w:r>
        <w:rPr>
          <w:lang w:val="en-US"/>
        </w:rPr>
        <w:t xml:space="preserve">, </w:t>
      </w:r>
      <w:r w:rsidRPr="002323DA">
        <w:rPr>
          <w:lang w:val="en-US"/>
        </w:rPr>
        <w:t>Berkeley: University of California</w:t>
      </w:r>
      <w:r>
        <w:rPr>
          <w:lang w:val="en-US"/>
        </w:rPr>
        <w:t xml:space="preserve">, </w:t>
      </w:r>
      <w:r w:rsidRPr="002323DA">
        <w:rPr>
          <w:lang w:val="en-US"/>
        </w:rPr>
        <w:t>2009/2010</w:t>
      </w:r>
      <w:r>
        <w:rPr>
          <w:lang w:val="en-US"/>
        </w:rPr>
        <w:t>, pp.165-170.</w:t>
      </w:r>
    </w:p>
  </w:footnote>
  <w:footnote w:id="25">
    <w:p w14:paraId="003D93FE" w14:textId="77777777" w:rsidR="00B27F75" w:rsidRPr="00BD6ABA" w:rsidRDefault="00B27F75" w:rsidP="009F26F1">
      <w:pPr>
        <w:pStyle w:val="FootnoteText"/>
        <w:rPr>
          <w:lang w:val="en-US"/>
        </w:rPr>
      </w:pPr>
      <w:r>
        <w:rPr>
          <w:rStyle w:val="FootnoteReference"/>
        </w:rPr>
        <w:footnoteRef/>
      </w:r>
      <w:r w:rsidRPr="000B1214">
        <w:rPr>
          <w:lang w:val="en-US"/>
        </w:rPr>
        <w:t xml:space="preserve">C. E. White, D. M. McCreery, and F. H. Toro. Crop Storage, Processing, and Cooking Practices at Numayra: The Plant Remains, in R. T. Schaub, W. Rast, and M. S. Chesson, eds., </w:t>
      </w:r>
      <w:r w:rsidRPr="000B1214">
        <w:rPr>
          <w:i/>
          <w:lang w:val="en-US"/>
        </w:rPr>
        <w:t>Numayra: Excavations at the Early Bronze Age Townsite in Jordan, 1977-1983</w:t>
      </w:r>
      <w:r w:rsidRPr="000B1214">
        <w:rPr>
          <w:lang w:val="en-US"/>
        </w:rPr>
        <w:t>, Winona Lake, IN: Eisenbrauns, in press.</w:t>
      </w:r>
    </w:p>
  </w:footnote>
  <w:footnote w:id="26">
    <w:p w14:paraId="55632654" w14:textId="51AF4306" w:rsidR="00B27F75" w:rsidRPr="00A85B69" w:rsidRDefault="00B27F75">
      <w:pPr>
        <w:pStyle w:val="FootnoteText"/>
      </w:pPr>
      <w:r>
        <w:rPr>
          <w:rStyle w:val="FootnoteReference"/>
        </w:rPr>
        <w:footnoteRef/>
      </w:r>
      <w:r>
        <w:rPr>
          <w:lang w:val="en-US"/>
        </w:rPr>
        <w:t xml:space="preserve">P. E. McGovern, et al., </w:t>
      </w:r>
      <w:r w:rsidRPr="00454C91">
        <w:t xml:space="preserve">Early Neolithic Wine of Georgia in the South Caucasus, </w:t>
      </w:r>
      <w:r w:rsidRPr="00454C91">
        <w:rPr>
          <w:i/>
        </w:rPr>
        <w:t>Proceedings of the National Academy of Sciences USA</w:t>
      </w:r>
      <w:r w:rsidRPr="00454C91">
        <w:t xml:space="preserve"> 114 (2017): E10309–E10318</w:t>
      </w:r>
      <w:r>
        <w:t xml:space="preserve"> (</w:t>
      </w:r>
      <w:hyperlink r:id="rId13" w:history="1">
        <w:r w:rsidRPr="00E93BAF">
          <w:rPr>
            <w:rStyle w:val="Hyperlink"/>
          </w:rPr>
          <w:t>https://www.pnas.org/content/pnas/114/48/E10309.full.pdf?with-ds=yes</w:t>
        </w:r>
      </w:hyperlink>
      <w:r>
        <w:rPr>
          <w:rStyle w:val="Hyperlink"/>
          <w:lang w:val="en-US"/>
        </w:rPr>
        <w:t>; accessed May 14, 2019</w:t>
      </w:r>
      <w:r>
        <w:t>).</w:t>
      </w:r>
    </w:p>
  </w:footnote>
  <w:footnote w:id="27">
    <w:p w14:paraId="57C2410D" w14:textId="420732B6" w:rsidR="00B27F75" w:rsidRPr="00CD14A4" w:rsidRDefault="00B27F75" w:rsidP="006B5689">
      <w:pPr>
        <w:pStyle w:val="FootnoteText"/>
        <w:rPr>
          <w:lang w:val="en-US"/>
        </w:rPr>
      </w:pPr>
      <w:r w:rsidRPr="00CD14A4">
        <w:rPr>
          <w:rStyle w:val="FootnoteReference"/>
        </w:rPr>
        <w:footnoteRef/>
      </w:r>
      <w:bookmarkStart w:id="29" w:name="_Hlk7608230"/>
      <w:r w:rsidRPr="00CD14A4">
        <w:rPr>
          <w:lang w:val="en-US"/>
        </w:rPr>
        <w:t>U. Hartung, C</w:t>
      </w:r>
      <w:r>
        <w:rPr>
          <w:lang w:val="en-US"/>
        </w:rPr>
        <w:t xml:space="preserve">. </w:t>
      </w:r>
      <w:r w:rsidRPr="00CD14A4">
        <w:rPr>
          <w:lang w:val="en-US"/>
        </w:rPr>
        <w:t xml:space="preserve"> Köhler, V. Müller, and M.</w:t>
      </w:r>
      <w:r>
        <w:rPr>
          <w:lang w:val="en-US"/>
        </w:rPr>
        <w:t xml:space="preserve"> </w:t>
      </w:r>
      <w:r w:rsidRPr="00CD14A4">
        <w:rPr>
          <w:lang w:val="en-US"/>
        </w:rPr>
        <w:t xml:space="preserve">F. Ownby, “Imported Pottery from Abydos: </w:t>
      </w:r>
      <w:r>
        <w:rPr>
          <w:lang w:val="en-US"/>
        </w:rPr>
        <w:t>A</w:t>
      </w:r>
      <w:r w:rsidRPr="00CD14A4">
        <w:rPr>
          <w:lang w:val="en-US"/>
        </w:rPr>
        <w:t xml:space="preserve"> New Petrographic Perspective,” </w:t>
      </w:r>
      <w:r w:rsidRPr="00CD14A4">
        <w:rPr>
          <w:i/>
          <w:lang w:val="en-US"/>
        </w:rPr>
        <w:t>Ägypten und Levante</w:t>
      </w:r>
      <w:r w:rsidRPr="00CD14A4">
        <w:rPr>
          <w:lang w:val="en-US"/>
        </w:rPr>
        <w:t xml:space="preserve"> 25 (2016), pp. 295-334.</w:t>
      </w:r>
    </w:p>
    <w:bookmarkEnd w:id="29"/>
  </w:footnote>
  <w:footnote w:id="28">
    <w:p w14:paraId="52468476" w14:textId="77777777" w:rsidR="00B27F75" w:rsidRPr="000A3E40" w:rsidRDefault="00B27F75" w:rsidP="003C54AE">
      <w:pPr>
        <w:pStyle w:val="FootnoteText"/>
      </w:pPr>
      <w:r>
        <w:rPr>
          <w:rStyle w:val="FootnoteReference"/>
        </w:rPr>
        <w:footnoteRef/>
      </w:r>
      <w:r>
        <w:t xml:space="preserve">Although Dr. Mary Ownby now has rejected Goren’s results for the Scorpion I jars, she was initially in this camp, cf. </w:t>
      </w:r>
      <w:r w:rsidRPr="004D5837">
        <w:t xml:space="preserve"> </w:t>
      </w:r>
      <w:r>
        <w:t xml:space="preserve">M. F. </w:t>
      </w:r>
      <w:r w:rsidRPr="004D5837">
        <w:t>Ownby, Canaanite Jars from Memphis as Evidence for Trade and Political Relationships</w:t>
      </w:r>
      <w:r>
        <w:t xml:space="preserve"> </w:t>
      </w:r>
      <w:r w:rsidRPr="004D5837">
        <w:t>in the Middle Bronze Age, unpublished Ph.D. dissertation, University of Cambridge, 2010</w:t>
      </w:r>
      <w:r>
        <w:t xml:space="preserve">, pp. 178-180, </w:t>
      </w:r>
      <w:r>
        <w:rPr>
          <w:i/>
        </w:rPr>
        <w:t>passim</w:t>
      </w:r>
      <w:r>
        <w:t xml:space="preserve">.  The same criticisms of our NAA article were repeated in M. F. Ownby and J. Bourriau, </w:t>
      </w:r>
      <w:r w:rsidRPr="00E0341E">
        <w:t xml:space="preserve">The Movement </w:t>
      </w:r>
      <w:r>
        <w:t>o</w:t>
      </w:r>
      <w:r w:rsidRPr="00E0341E">
        <w:t xml:space="preserve">f Middle-Bronze Age Transport Jars: A Provenance Study Based </w:t>
      </w:r>
      <w:r>
        <w:t>o</w:t>
      </w:r>
      <w:r w:rsidRPr="00E0341E">
        <w:t xml:space="preserve">n Petrographic </w:t>
      </w:r>
      <w:r>
        <w:t>a</w:t>
      </w:r>
      <w:r w:rsidRPr="00E0341E">
        <w:t xml:space="preserve">nd Chemical Analysis </w:t>
      </w:r>
      <w:r>
        <w:t>o</w:t>
      </w:r>
      <w:r w:rsidRPr="00E0341E">
        <w:t>f Canaanite Jars from Memphis, Egypt</w:t>
      </w:r>
      <w:r>
        <w:t>, pp.</w:t>
      </w:r>
      <w:r w:rsidRPr="003C54AE">
        <w:t>173</w:t>
      </w:r>
      <w:r>
        <w:t>-</w:t>
      </w:r>
      <w:r w:rsidRPr="003C54AE">
        <w:t>188</w:t>
      </w:r>
      <w:r>
        <w:t xml:space="preserve"> in </w:t>
      </w:r>
      <w:r w:rsidRPr="00E13709">
        <w:rPr>
          <w:i/>
        </w:rPr>
        <w:t>Interpreting Silent Artefacts: Petrographic Approaches to Archaeological Ceramics</w:t>
      </w:r>
      <w:r>
        <w:t xml:space="preserve">, ed. </w:t>
      </w:r>
      <w:r w:rsidRPr="00E0341E">
        <w:t>P</w:t>
      </w:r>
      <w:r>
        <w:t>.</w:t>
      </w:r>
      <w:r w:rsidRPr="00E0341E">
        <w:t xml:space="preserve"> S. Quinn</w:t>
      </w:r>
      <w:r>
        <w:t xml:space="preserve">, </w:t>
      </w:r>
      <w:r w:rsidRPr="00E13709">
        <w:t>Oxford</w:t>
      </w:r>
      <w:r>
        <w:t>:</w:t>
      </w:r>
      <w:r w:rsidRPr="00E13709">
        <w:t xml:space="preserve"> Archaeopress</w:t>
      </w:r>
      <w:r>
        <w:t xml:space="preserve">, 2009. </w:t>
      </w:r>
    </w:p>
  </w:footnote>
  <w:footnote w:id="29">
    <w:p w14:paraId="76547C8E" w14:textId="48AE4898" w:rsidR="00B27F75" w:rsidRPr="008620F1" w:rsidRDefault="00B27F75" w:rsidP="00890E0E">
      <w:pPr>
        <w:spacing w:after="0" w:line="240" w:lineRule="auto"/>
        <w:rPr>
          <w:lang w:val="en-US"/>
        </w:rPr>
      </w:pPr>
      <w:r w:rsidRPr="00A85A22">
        <w:rPr>
          <w:rStyle w:val="FootnoteReference"/>
          <w:sz w:val="20"/>
          <w:szCs w:val="20"/>
        </w:rPr>
        <w:footnoteRef/>
      </w:r>
      <w:r w:rsidRPr="00A85A22">
        <w:rPr>
          <w:sz w:val="20"/>
          <w:szCs w:val="20"/>
        </w:rPr>
        <w:t xml:space="preserve">M. Bietak, review of A.-L. Mourad, </w:t>
      </w:r>
      <w:r w:rsidRPr="00A85A22">
        <w:rPr>
          <w:i/>
          <w:sz w:val="20"/>
          <w:szCs w:val="20"/>
        </w:rPr>
        <w:t>The Rise of the Hyksos, Egypt and the Levant from the Middle Kingdom to the Early Second Intermediate Period</w:t>
      </w:r>
      <w:r w:rsidRPr="00A85A22">
        <w:rPr>
          <w:sz w:val="20"/>
          <w:szCs w:val="20"/>
        </w:rPr>
        <w:t xml:space="preserve">, </w:t>
      </w:r>
      <w:r w:rsidRPr="00A85A22">
        <w:rPr>
          <w:i/>
          <w:sz w:val="20"/>
          <w:szCs w:val="20"/>
        </w:rPr>
        <w:t>Bibliotheca Orientalis</w:t>
      </w:r>
      <w:r w:rsidRPr="00A85A22">
        <w:rPr>
          <w:sz w:val="20"/>
          <w:szCs w:val="20"/>
        </w:rPr>
        <w:t xml:space="preserve"> 75 (2018), pp. 229-248</w:t>
      </w:r>
      <w:r>
        <w:t>.</w:t>
      </w:r>
    </w:p>
  </w:footnote>
  <w:footnote w:id="30">
    <w:p w14:paraId="223B3DB0" w14:textId="77777777" w:rsidR="00B27F75" w:rsidRPr="004C5090" w:rsidRDefault="00B27F75" w:rsidP="004C5090">
      <w:pPr>
        <w:pStyle w:val="FootnoteText"/>
      </w:pPr>
      <w:bookmarkStart w:id="35" w:name="_Hlk5603183"/>
      <w:r>
        <w:rPr>
          <w:rStyle w:val="FootnoteReference"/>
        </w:rPr>
        <w:footnoteRef/>
      </w:r>
      <w:bookmarkStart w:id="36" w:name="_Hlk8630595"/>
      <w:r w:rsidRPr="00C4433B">
        <w:t>M</w:t>
      </w:r>
      <w:r>
        <w:t>.</w:t>
      </w:r>
      <w:r w:rsidRPr="00C4433B">
        <w:t xml:space="preserve"> Bietak,</w:t>
      </w:r>
      <w:r>
        <w:t xml:space="preserve"> </w:t>
      </w:r>
      <w:r w:rsidRPr="0097607D">
        <w:rPr>
          <w:i/>
        </w:rPr>
        <w:t>Avaris, The Capital of the Hyksos: Recent Excavations at Tell el-Dab'a</w:t>
      </w:r>
      <w:r w:rsidRPr="0097607D">
        <w:t>.  London: British Museum</w:t>
      </w:r>
      <w:r>
        <w:t xml:space="preserve">, </w:t>
      </w:r>
      <w:r w:rsidRPr="0097607D">
        <w:t>1996</w:t>
      </w:r>
      <w:r>
        <w:t xml:space="preserve">, p. 36.     </w:t>
      </w:r>
      <w:bookmarkEnd w:id="36"/>
    </w:p>
    <w:bookmarkEnd w:id="35"/>
  </w:footnote>
  <w:footnote w:id="31">
    <w:p w14:paraId="55BA4434" w14:textId="77777777" w:rsidR="00B27F75" w:rsidRPr="00C46443" w:rsidRDefault="00B27F75">
      <w:pPr>
        <w:pStyle w:val="FootnoteText"/>
        <w:rPr>
          <w:lang w:val="en-US"/>
        </w:rPr>
      </w:pPr>
      <w:r w:rsidRPr="00C46443">
        <w:rPr>
          <w:rStyle w:val="FootnoteReference"/>
        </w:rPr>
        <w:footnoteRef/>
      </w:r>
      <w:r w:rsidRPr="00C46443">
        <w:t>C. Stantis and H. Schutkowski, Migration into Egypt during the Second Intermediate Period, presented at the 88th Annual Meeting of the American Association of Physical Anthropologists, 2019.</w:t>
      </w:r>
    </w:p>
  </w:footnote>
  <w:footnote w:id="32">
    <w:p w14:paraId="65D772BA" w14:textId="77777777" w:rsidR="00B27F75" w:rsidRPr="008360E7" w:rsidRDefault="00B27F75" w:rsidP="00DB1BC8">
      <w:pPr>
        <w:rPr>
          <w:sz w:val="20"/>
          <w:szCs w:val="20"/>
        </w:rPr>
      </w:pPr>
      <w:r>
        <w:rPr>
          <w:rStyle w:val="FootnoteReference"/>
        </w:rPr>
        <w:footnoteRef/>
      </w:r>
      <w:r w:rsidRPr="008360E7">
        <w:rPr>
          <w:sz w:val="20"/>
        </w:rPr>
        <w:t xml:space="preserve">E.g., M. Bietak, </w:t>
      </w:r>
      <w:bookmarkStart w:id="37" w:name="_Hlk7150151"/>
      <w:r w:rsidRPr="008360E7">
        <w:rPr>
          <w:sz w:val="20"/>
        </w:rPr>
        <w:t>Antagonisms in Historical and Radiocarbon Chronology</w:t>
      </w:r>
      <w:bookmarkEnd w:id="37"/>
      <w:r w:rsidRPr="008360E7">
        <w:rPr>
          <w:sz w:val="20"/>
        </w:rPr>
        <w:t xml:space="preserve">.  Pp. 76–109 in </w:t>
      </w:r>
      <w:r w:rsidRPr="008360E7">
        <w:rPr>
          <w:i/>
          <w:sz w:val="20"/>
        </w:rPr>
        <w:t>Radiocarbon and the Chronologies of Ancient Egypt</w:t>
      </w:r>
      <w:r w:rsidRPr="008360E7">
        <w:rPr>
          <w:sz w:val="20"/>
        </w:rPr>
        <w:t xml:space="preserve">, eds. A. J. Shortland and C. Bronk Ramsey. Oxford: Oxbow, 2013; see p. 100.  The original data is published in W. </w:t>
      </w:r>
      <w:r w:rsidRPr="008360E7">
        <w:rPr>
          <w:sz w:val="20"/>
          <w:szCs w:val="20"/>
        </w:rPr>
        <w:t>Kutschera, et al.,</w:t>
      </w:r>
      <w:r w:rsidRPr="008360E7">
        <w:rPr>
          <w:sz w:val="20"/>
        </w:rPr>
        <w:t xml:space="preserve"> The Chronology of Tell el-Daba: A Crucial Meeting Point of 14C Dating, Archaeology, and Egyptology in the 2nd Millennium BC. </w:t>
      </w:r>
      <w:r w:rsidRPr="008360E7">
        <w:rPr>
          <w:i/>
          <w:sz w:val="20"/>
        </w:rPr>
        <w:t>Radiocarbon</w:t>
      </w:r>
      <w:r w:rsidRPr="008360E7">
        <w:rPr>
          <w:sz w:val="20"/>
          <w:szCs w:val="20"/>
        </w:rPr>
        <w:t xml:space="preserve"> 54 (2012), pp. </w:t>
      </w:r>
      <w:r w:rsidRPr="008360E7">
        <w:rPr>
          <w:rStyle w:val="Date1"/>
          <w:sz w:val="20"/>
        </w:rPr>
        <w:t>407-422</w:t>
      </w:r>
      <w:r>
        <w:rPr>
          <w:rStyle w:val="Date1"/>
          <w:sz w:val="20"/>
        </w:rPr>
        <w:t>. Hereafter cited as “</w:t>
      </w:r>
      <w:r w:rsidRPr="00E92D1A">
        <w:rPr>
          <w:rStyle w:val="Date1"/>
          <w:sz w:val="20"/>
        </w:rPr>
        <w:t>Antagonisms</w:t>
      </w:r>
      <w:r>
        <w:rPr>
          <w:rStyle w:val="Date1"/>
          <w:sz w:val="20"/>
        </w:rPr>
        <w:t>.”</w:t>
      </w:r>
    </w:p>
  </w:footnote>
  <w:footnote w:id="33">
    <w:p w14:paraId="2CA6AEDC" w14:textId="77777777" w:rsidR="00B27F75" w:rsidRPr="00F41AA1" w:rsidRDefault="00B27F75" w:rsidP="00A22109">
      <w:pPr>
        <w:pStyle w:val="FootnoteText"/>
        <w:rPr>
          <w:lang w:val="en-US"/>
        </w:rPr>
      </w:pPr>
      <w:r>
        <w:rPr>
          <w:rStyle w:val="FootnoteReference"/>
        </w:rPr>
        <w:footnoteRef/>
      </w:r>
      <w:r>
        <w:t>“</w:t>
      </w:r>
      <w:r w:rsidRPr="008360E7">
        <w:t>Antagonisms</w:t>
      </w:r>
      <w:r>
        <w:t>,” p. 100.</w:t>
      </w:r>
    </w:p>
  </w:footnote>
  <w:footnote w:id="34">
    <w:p w14:paraId="6F45C59C" w14:textId="115B4551" w:rsidR="00B27F75" w:rsidRPr="00ED3B16" w:rsidRDefault="00B27F75" w:rsidP="004A3980">
      <w:pPr>
        <w:pStyle w:val="FootnoteText"/>
      </w:pPr>
      <w:r>
        <w:rPr>
          <w:rStyle w:val="FootnoteReference"/>
        </w:rPr>
        <w:footnoteRef/>
      </w:r>
      <w:r w:rsidRPr="005511B2">
        <w:rPr>
          <w:lang w:val="en-US"/>
        </w:rPr>
        <w:t xml:space="preserve">F. Höflmayer, </w:t>
      </w:r>
      <w:r w:rsidRPr="00AA4CBF">
        <w:rPr>
          <w:lang w:val="en-US"/>
        </w:rPr>
        <w:t>The Expulsion of the Hyksos and the End of the Middle Bronze Age: A Reassessment in Light of Recent Chronological Research</w:t>
      </w:r>
      <w:r>
        <w:rPr>
          <w:lang w:val="en-US"/>
        </w:rPr>
        <w:t>,</w:t>
      </w:r>
      <w:r w:rsidRPr="00430491">
        <w:t xml:space="preserve"> </w:t>
      </w:r>
      <w:r w:rsidRPr="005511B2">
        <w:rPr>
          <w:i/>
          <w:lang w:val="en-US"/>
        </w:rPr>
        <w:t xml:space="preserve">Journal of </w:t>
      </w:r>
      <w:r w:rsidRPr="00430491">
        <w:rPr>
          <w:i/>
          <w:lang w:val="en-US"/>
        </w:rPr>
        <w:t>Ancient Egyptian Interconnections</w:t>
      </w:r>
      <w:r w:rsidRPr="00430491">
        <w:rPr>
          <w:lang w:val="en-US"/>
        </w:rPr>
        <w:t xml:space="preserve"> </w:t>
      </w:r>
      <w:r>
        <w:rPr>
          <w:lang w:val="en-US"/>
        </w:rPr>
        <w:t>21</w:t>
      </w:r>
      <w:r w:rsidRPr="00430491">
        <w:rPr>
          <w:lang w:val="en-US"/>
        </w:rPr>
        <w:t xml:space="preserve"> (201</w:t>
      </w:r>
      <w:r>
        <w:rPr>
          <w:lang w:val="en-US"/>
        </w:rPr>
        <w:t>9</w:t>
      </w:r>
      <w:r w:rsidRPr="00430491">
        <w:rPr>
          <w:lang w:val="en-US"/>
        </w:rPr>
        <w:t xml:space="preserve">), pp. </w:t>
      </w:r>
      <w:r>
        <w:rPr>
          <w:lang w:val="en-US"/>
        </w:rPr>
        <w:t>20-3</w:t>
      </w:r>
      <w:r w:rsidRPr="00430491">
        <w:rPr>
          <w:lang w:val="en-US"/>
        </w:rPr>
        <w:t>0</w:t>
      </w:r>
      <w:r>
        <w:rPr>
          <w:lang w:val="en-US"/>
        </w:rPr>
        <w:t xml:space="preserve">; </w:t>
      </w:r>
      <w:r w:rsidRPr="005511B2">
        <w:rPr>
          <w:lang w:val="en-US"/>
        </w:rPr>
        <w:t>F. Höflmayer, A Radiocarbon Chronology for the Middle Bronze Age Southern Levan</w:t>
      </w:r>
      <w:r>
        <w:rPr>
          <w:lang w:val="en-US"/>
        </w:rPr>
        <w:t>t,</w:t>
      </w:r>
      <w:r w:rsidRPr="005511B2">
        <w:rPr>
          <w:lang w:val="en-US"/>
        </w:rPr>
        <w:t xml:space="preserve"> </w:t>
      </w:r>
      <w:bookmarkStart w:id="38" w:name="_Hlk5342993"/>
      <w:r w:rsidRPr="005511B2">
        <w:rPr>
          <w:i/>
          <w:lang w:val="en-US"/>
        </w:rPr>
        <w:t xml:space="preserve">Journal of </w:t>
      </w:r>
      <w:bookmarkEnd w:id="38"/>
      <w:r w:rsidRPr="005511B2">
        <w:rPr>
          <w:i/>
          <w:lang w:val="en-US"/>
        </w:rPr>
        <w:t>Ancient Egyptian Interconnections</w:t>
      </w:r>
      <w:r w:rsidRPr="005511B2">
        <w:rPr>
          <w:lang w:val="en-US"/>
        </w:rPr>
        <w:t xml:space="preserve"> 13</w:t>
      </w:r>
      <w:r>
        <w:rPr>
          <w:lang w:val="en-US"/>
        </w:rPr>
        <w:t xml:space="preserve"> (2017), pp. </w:t>
      </w:r>
      <w:r w:rsidRPr="005511B2">
        <w:rPr>
          <w:lang w:val="en-US"/>
        </w:rPr>
        <w:t>20–33</w:t>
      </w:r>
      <w:r>
        <w:rPr>
          <w:lang w:val="en-US"/>
        </w:rPr>
        <w:t xml:space="preserve">; </w:t>
      </w:r>
      <w:r w:rsidRPr="00F429A1">
        <w:rPr>
          <w:lang w:val="en-US"/>
        </w:rPr>
        <w:t xml:space="preserve">M. Bietak, review of Sturt W. Manning, </w:t>
      </w:r>
      <w:r w:rsidRPr="00F429A1">
        <w:rPr>
          <w:i/>
          <w:lang w:val="en-US"/>
        </w:rPr>
        <w:t xml:space="preserve">A Test of Time and A Test of Time Revisited: The Volcano of Thera and the Chronology and History of the Aegean and East Mediterranean in the </w:t>
      </w:r>
      <w:r>
        <w:rPr>
          <w:i/>
          <w:lang w:val="en-US"/>
        </w:rPr>
        <w:t>M</w:t>
      </w:r>
      <w:r w:rsidRPr="00F429A1">
        <w:rPr>
          <w:i/>
          <w:lang w:val="en-US"/>
        </w:rPr>
        <w:t>id-</w:t>
      </w:r>
      <w:r>
        <w:rPr>
          <w:i/>
          <w:lang w:val="en-US"/>
        </w:rPr>
        <w:t>S</w:t>
      </w:r>
      <w:r w:rsidRPr="00F429A1">
        <w:rPr>
          <w:i/>
          <w:lang w:val="en-US"/>
        </w:rPr>
        <w:t>econd Millennium BC</w:t>
      </w:r>
      <w:r w:rsidRPr="00F429A1">
        <w:rPr>
          <w:lang w:val="en-US"/>
        </w:rPr>
        <w:t xml:space="preserve">, </w:t>
      </w:r>
      <w:r w:rsidRPr="00F429A1">
        <w:rPr>
          <w:i/>
          <w:lang w:val="en-US"/>
        </w:rPr>
        <w:t>Bryn Mawr Classical Review</w:t>
      </w:r>
      <w:r w:rsidRPr="00F429A1">
        <w:rPr>
          <w:lang w:val="en-US"/>
        </w:rPr>
        <w:t xml:space="preserve"> 2016, p. 50</w:t>
      </w:r>
      <w:r>
        <w:rPr>
          <w:lang w:val="en-US"/>
        </w:rPr>
        <w:t xml:space="preserve">; etc.  </w:t>
      </w:r>
      <w:r>
        <w:rPr>
          <w:rStyle w:val="Date1"/>
        </w:rPr>
        <w:t xml:space="preserve">Most recently, in support of the lower chronology, see </w:t>
      </w:r>
      <w:bookmarkStart w:id="39" w:name="_Hlk5604777"/>
      <w:r>
        <w:rPr>
          <w:rStyle w:val="Date1"/>
        </w:rPr>
        <w:t xml:space="preserve">D. Ben-Tor, </w:t>
      </w:r>
      <w:r w:rsidRPr="004A3980">
        <w:rPr>
          <w:rStyle w:val="Date1"/>
        </w:rPr>
        <w:t>Evidence for Middle Bronze Age Chronology and Synchronisms in the Levant: A Response to Höflmayer et al. 2016</w:t>
      </w:r>
      <w:r>
        <w:rPr>
          <w:rStyle w:val="Date1"/>
        </w:rPr>
        <w:t xml:space="preserve">, </w:t>
      </w:r>
      <w:r w:rsidRPr="00ED3B16">
        <w:rPr>
          <w:rStyle w:val="Date1"/>
          <w:i/>
        </w:rPr>
        <w:t>Bulletin of the American Schools of Oriental Research</w:t>
      </w:r>
      <w:r w:rsidRPr="004A3980">
        <w:rPr>
          <w:rStyle w:val="Date1"/>
        </w:rPr>
        <w:t xml:space="preserve"> </w:t>
      </w:r>
      <w:r>
        <w:rPr>
          <w:rStyle w:val="Date1"/>
        </w:rPr>
        <w:t>379 (</w:t>
      </w:r>
      <w:r w:rsidRPr="004A3980">
        <w:rPr>
          <w:rStyle w:val="Date1"/>
        </w:rPr>
        <w:t>2018</w:t>
      </w:r>
      <w:r>
        <w:rPr>
          <w:rStyle w:val="Date1"/>
        </w:rPr>
        <w:t xml:space="preserve">), pp. </w:t>
      </w:r>
      <w:r w:rsidRPr="004A3980">
        <w:rPr>
          <w:rStyle w:val="Date1"/>
        </w:rPr>
        <w:t>43</w:t>
      </w:r>
      <w:r>
        <w:rPr>
          <w:rStyle w:val="Date1"/>
        </w:rPr>
        <w:t>-54.</w:t>
      </w:r>
      <w:r w:rsidRPr="004A3980">
        <w:rPr>
          <w:rStyle w:val="Date1"/>
        </w:rPr>
        <w:t xml:space="preserve"> </w:t>
      </w:r>
      <w:bookmarkEnd w:id="39"/>
    </w:p>
  </w:footnote>
  <w:footnote w:id="35">
    <w:p w14:paraId="62BAE968" w14:textId="77777777" w:rsidR="00B27F75" w:rsidRPr="00BA17B3" w:rsidRDefault="00B27F75">
      <w:pPr>
        <w:pStyle w:val="FootnoteText"/>
        <w:rPr>
          <w:lang w:val="en-US"/>
        </w:rPr>
      </w:pPr>
      <w:r>
        <w:rPr>
          <w:rStyle w:val="FootnoteReference"/>
        </w:rPr>
        <w:footnoteRef/>
      </w:r>
      <w:bookmarkStart w:id="40" w:name="_Hlk7150426"/>
      <w:bookmarkStart w:id="41" w:name="_Hlk7085177"/>
      <w:r w:rsidRPr="005125F6">
        <w:rPr>
          <w:rFonts w:eastAsiaTheme="minorEastAsia"/>
          <w:i/>
          <w:lang w:val="en-US"/>
        </w:rPr>
        <w:t>Ashkelon 6: The Middle Bronze Age Ramparts and Gates of the North Slope and Later Fortifications</w:t>
      </w:r>
      <w:bookmarkEnd w:id="40"/>
      <w:r w:rsidRPr="005125F6">
        <w:rPr>
          <w:rFonts w:eastAsiaTheme="minorEastAsia"/>
          <w:lang w:val="en-US"/>
        </w:rPr>
        <w:t>, Final Reports of The Leon Levy Expedition to Ashkelon, eds. L. E. Stager, J. D. Schloen, and R. J. Voss, University Park, PA: Pennsylvania State University Press and Eisenbrauns, 2018</w:t>
      </w:r>
      <w:r>
        <w:rPr>
          <w:rFonts w:eastAsiaTheme="minorEastAsia"/>
          <w:lang w:val="en-US"/>
        </w:rPr>
        <w:t>.</w:t>
      </w:r>
      <w:bookmarkEnd w:id="41"/>
      <w:r>
        <w:rPr>
          <w:rFonts w:eastAsiaTheme="minorEastAsia"/>
          <w:lang w:val="en-US"/>
        </w:rPr>
        <w:t xml:space="preserve">  Hereafter cited as </w:t>
      </w:r>
      <w:r>
        <w:rPr>
          <w:rFonts w:eastAsiaTheme="minorEastAsia"/>
          <w:i/>
          <w:lang w:val="en-US"/>
        </w:rPr>
        <w:t>Ashkelon 6</w:t>
      </w:r>
      <w:r>
        <w:rPr>
          <w:rFonts w:eastAsiaTheme="minorEastAsia"/>
          <w:lang w:val="en-US"/>
        </w:rPr>
        <w:t>.</w:t>
      </w:r>
    </w:p>
  </w:footnote>
  <w:footnote w:id="36">
    <w:p w14:paraId="37991ED0" w14:textId="01D14935" w:rsidR="00B27F75" w:rsidRPr="00B7430E" w:rsidRDefault="00B27F75" w:rsidP="00211783">
      <w:pPr>
        <w:pStyle w:val="FootnoteText"/>
        <w:rPr>
          <w:lang w:val="en-US"/>
        </w:rPr>
      </w:pPr>
      <w:r>
        <w:rPr>
          <w:rStyle w:val="FootnoteReference"/>
        </w:rPr>
        <w:footnoteRef/>
      </w:r>
      <w:r w:rsidRPr="00CC1BB6">
        <w:rPr>
          <w:i/>
          <w:lang w:val="en-US"/>
        </w:rPr>
        <w:t xml:space="preserve">Ashkelon </w:t>
      </w:r>
      <w:r w:rsidRPr="00211783">
        <w:rPr>
          <w:lang w:val="en-US"/>
        </w:rPr>
        <w:t>6</w:t>
      </w:r>
      <w:r>
        <w:rPr>
          <w:lang w:val="en-US"/>
        </w:rPr>
        <w:t xml:space="preserve">, </w:t>
      </w:r>
      <w:r w:rsidRPr="00211783">
        <w:t>pp</w:t>
      </w:r>
      <w:r>
        <w:t>. 337-381; see especially pp. 337-339.</w:t>
      </w:r>
    </w:p>
    <w:p w14:paraId="083FD7D9" w14:textId="77777777" w:rsidR="00B27F75" w:rsidRPr="00211783" w:rsidRDefault="00B27F75">
      <w:pPr>
        <w:pStyle w:val="FootnoteText"/>
        <w:rPr>
          <w:lang w:val="en-US"/>
        </w:rPr>
      </w:pPr>
    </w:p>
  </w:footnote>
  <w:footnote w:id="37">
    <w:p w14:paraId="41AB0F8A" w14:textId="00A41D8C" w:rsidR="00B27F75" w:rsidRPr="00952392" w:rsidRDefault="00B27F75" w:rsidP="00940BF2">
      <w:pPr>
        <w:pStyle w:val="FootnoteText"/>
        <w:rPr>
          <w:lang w:val="en-US"/>
        </w:rPr>
      </w:pPr>
      <w:r>
        <w:rPr>
          <w:rStyle w:val="FootnoteReference"/>
        </w:rPr>
        <w:footnoteRef/>
      </w:r>
      <w:r w:rsidRPr="00987EB1">
        <w:t xml:space="preserve">M. Bietak, Historische und archäologische Einführung, pp. 17-57 in </w:t>
      </w:r>
      <w:r w:rsidRPr="00987EB1">
        <w:rPr>
          <w:i/>
        </w:rPr>
        <w:t>Pharaonen und fremde Dynastien im Dunkel</w:t>
      </w:r>
      <w:r w:rsidRPr="00987EB1">
        <w:t>, 194th special exhibition, Vienna: Museums of Vienna, 1994</w:t>
      </w:r>
      <w:r>
        <w:t xml:space="preserve">; </w:t>
      </w:r>
      <w:r>
        <w:rPr>
          <w:i/>
        </w:rPr>
        <w:t>idem</w:t>
      </w:r>
      <w:r>
        <w:t xml:space="preserve">, </w:t>
      </w:r>
      <w:r w:rsidRPr="00952392">
        <w:t xml:space="preserve">M. Bietak, </w:t>
      </w:r>
      <w:r w:rsidRPr="00952392">
        <w:rPr>
          <w:i/>
        </w:rPr>
        <w:t>Avaris, The Capital of the Hyksos: Recent Excavations at Tell el-Dab'a</w:t>
      </w:r>
      <w:r w:rsidRPr="00952392">
        <w:t>.  London: British Museum, 1996, p</w:t>
      </w:r>
      <w:r w:rsidR="008F5105">
        <w:t>p</w:t>
      </w:r>
      <w:r w:rsidRPr="00952392">
        <w:t xml:space="preserve">. </w:t>
      </w:r>
      <w:r w:rsidRPr="004068A3">
        <w:rPr>
          <w:rFonts w:eastAsiaTheme="minorEastAsia"/>
          <w:lang w:val="en-US"/>
        </w:rPr>
        <w:t>60-63</w:t>
      </w:r>
      <w:r w:rsidRPr="00952392">
        <w:t xml:space="preserve">.     </w:t>
      </w:r>
    </w:p>
    <w:p w14:paraId="5A7FE5EA" w14:textId="77777777" w:rsidR="00B27F75" w:rsidRPr="00A547DD" w:rsidRDefault="00B27F75" w:rsidP="00940BF2">
      <w:pPr>
        <w:pStyle w:val="FootnoteText"/>
        <w:rPr>
          <w:lang w:val="en-US"/>
        </w:rPr>
      </w:pPr>
    </w:p>
  </w:footnote>
  <w:footnote w:id="38">
    <w:p w14:paraId="5B81C110" w14:textId="4A90D0B1" w:rsidR="00B27F75" w:rsidRPr="006A5C8C" w:rsidRDefault="00B27F75" w:rsidP="00667154">
      <w:pPr>
        <w:pStyle w:val="FootnoteText"/>
        <w:rPr>
          <w:lang w:val="en-US"/>
        </w:rPr>
      </w:pPr>
      <w:r>
        <w:rPr>
          <w:rStyle w:val="FootnoteReference"/>
        </w:rPr>
        <w:footnoteRef/>
      </w:r>
      <w:r>
        <w:rPr>
          <w:lang w:val="en-US"/>
        </w:rPr>
        <w:t>D. Ben-Tor,</w:t>
      </w:r>
      <w:r w:rsidRPr="00A54F81">
        <w:t xml:space="preserve"> </w:t>
      </w:r>
      <w:r w:rsidRPr="00A54F81">
        <w:rPr>
          <w:lang w:val="en-US"/>
        </w:rPr>
        <w:t>Scarabs of Middle Bronze Age Rulers of Byblos</w:t>
      </w:r>
      <w:r w:rsidRPr="00144DBF">
        <w:rPr>
          <w:lang w:val="en-US"/>
        </w:rPr>
        <w:t>,</w:t>
      </w:r>
      <w:r>
        <w:rPr>
          <w:lang w:val="en-US"/>
        </w:rPr>
        <w:t xml:space="preserve"> pp.</w:t>
      </w:r>
      <w:r w:rsidRPr="00144DBF">
        <w:rPr>
          <w:lang w:val="en-US"/>
        </w:rPr>
        <w:t xml:space="preserve"> 177-188</w:t>
      </w:r>
      <w:r>
        <w:rPr>
          <w:lang w:val="en-US"/>
        </w:rPr>
        <w:t xml:space="preserve"> in </w:t>
      </w:r>
      <w:r w:rsidRPr="00BB5D4A">
        <w:rPr>
          <w:i/>
          <w:lang w:val="en-US"/>
        </w:rPr>
        <w:t>Bilder als Quellen/Images as Sources: Studies on Ancient Near Eastern Artefacts and the Bible Inspired by the Work of Othmar Keel</w:t>
      </w:r>
      <w:r>
        <w:rPr>
          <w:lang w:val="en-US"/>
        </w:rPr>
        <w:t xml:space="preserve">, </w:t>
      </w:r>
      <w:r w:rsidRPr="00144DBF">
        <w:rPr>
          <w:lang w:val="en-US"/>
        </w:rPr>
        <w:t>eds.</w:t>
      </w:r>
      <w:r>
        <w:rPr>
          <w:lang w:val="en-US"/>
        </w:rPr>
        <w:t xml:space="preserve"> </w:t>
      </w:r>
      <w:r w:rsidRPr="00144DBF">
        <w:rPr>
          <w:lang w:val="en-US"/>
        </w:rPr>
        <w:t>S</w:t>
      </w:r>
      <w:r>
        <w:rPr>
          <w:lang w:val="en-US"/>
        </w:rPr>
        <w:t>.</w:t>
      </w:r>
      <w:r w:rsidRPr="00144DBF">
        <w:rPr>
          <w:lang w:val="en-US"/>
        </w:rPr>
        <w:t xml:space="preserve"> Bickel, R. Schurte, and C</w:t>
      </w:r>
      <w:r>
        <w:rPr>
          <w:lang w:val="en-US"/>
        </w:rPr>
        <w:t>.</w:t>
      </w:r>
      <w:r w:rsidRPr="00144DBF">
        <w:rPr>
          <w:lang w:val="en-US"/>
        </w:rPr>
        <w:t xml:space="preserve"> Uehlinger</w:t>
      </w:r>
      <w:r>
        <w:rPr>
          <w:lang w:val="en-US"/>
        </w:rPr>
        <w:t>,</w:t>
      </w:r>
      <w:r w:rsidRPr="00144DBF">
        <w:rPr>
          <w:lang w:val="en-US"/>
        </w:rPr>
        <w:t xml:space="preserve"> </w:t>
      </w:r>
      <w:r w:rsidRPr="008D39FD">
        <w:rPr>
          <w:lang w:val="en-US"/>
        </w:rPr>
        <w:t>Orbis Biblicus et Orientalis</w:t>
      </w:r>
      <w:r>
        <w:rPr>
          <w:lang w:val="en-US"/>
        </w:rPr>
        <w:t xml:space="preserve"> Sonderband, </w:t>
      </w:r>
      <w:r w:rsidRPr="00144DBF">
        <w:rPr>
          <w:lang w:val="en-US"/>
        </w:rPr>
        <w:t>Fribourg Switzerland</w:t>
      </w:r>
      <w:r>
        <w:rPr>
          <w:lang w:val="en-US"/>
        </w:rPr>
        <w:t>: Academic Press and G</w:t>
      </w:r>
      <w:r>
        <w:t>ö</w:t>
      </w:r>
      <w:r>
        <w:rPr>
          <w:lang w:val="en-US"/>
        </w:rPr>
        <w:t xml:space="preserve">ttingen: </w:t>
      </w:r>
      <w:r>
        <w:t xml:space="preserve">Vandenhoeck &amp; Ruprecht.  Hereafter </w:t>
      </w:r>
      <w:r>
        <w:rPr>
          <w:lang w:val="en-US"/>
        </w:rPr>
        <w:t xml:space="preserve">cited as </w:t>
      </w:r>
      <w:bookmarkStart w:id="46" w:name="_Hlk8800007"/>
      <w:r>
        <w:rPr>
          <w:lang w:val="en-US"/>
        </w:rPr>
        <w:t>“Scarabs of Byblos</w:t>
      </w:r>
      <w:r>
        <w:t>.”</w:t>
      </w:r>
      <w:bookmarkEnd w:id="46"/>
      <w:r>
        <w:t xml:space="preserve">  N.B.: This monograph </w:t>
      </w:r>
      <w:r w:rsidRPr="001E61E8">
        <w:t xml:space="preserve">and </w:t>
      </w:r>
      <w:r>
        <w:t xml:space="preserve">a related article (P. E. McGovern and </w:t>
      </w:r>
      <w:r w:rsidRPr="00A84020">
        <w:t>G. Harbottle</w:t>
      </w:r>
      <w:r>
        <w:t>,</w:t>
      </w:r>
      <w:r w:rsidRPr="00A84020">
        <w:t xml:space="preserve"> “Hyksos” Trade Connections between Tell el-Dab`a </w:t>
      </w:r>
      <w:r>
        <w:t>[</w:t>
      </w:r>
      <w:r w:rsidRPr="00A84020">
        <w:t>Avaris</w:t>
      </w:r>
      <w:r>
        <w:t>]</w:t>
      </w:r>
      <w:r w:rsidRPr="00A84020">
        <w:t xml:space="preserve"> and the Levant: A Neutron Activation Study of the Canaanite Jar</w:t>
      </w:r>
      <w:r>
        <w:t>,</w:t>
      </w:r>
      <w:r w:rsidRPr="00A84020">
        <w:t xml:space="preserve"> Pp. 141-</w:t>
      </w:r>
      <w:r>
        <w:t>1</w:t>
      </w:r>
      <w:r w:rsidRPr="00A84020">
        <w:t xml:space="preserve">57 in </w:t>
      </w:r>
      <w:r w:rsidRPr="00907082">
        <w:rPr>
          <w:i/>
        </w:rPr>
        <w:t>The Hyksos: New Historical and Archaeological Perspectives</w:t>
      </w:r>
      <w:r w:rsidRPr="00A84020">
        <w:t>, ed. E. Oren</w:t>
      </w:r>
      <w:r>
        <w:t xml:space="preserve">, </w:t>
      </w:r>
      <w:r w:rsidRPr="00A84020">
        <w:t>University Museum Monograph 96</w:t>
      </w:r>
      <w:r>
        <w:t>,</w:t>
      </w:r>
      <w:r w:rsidRPr="00A84020">
        <w:t xml:space="preserve"> Philadelphia: University of Pennsylvania Museum</w:t>
      </w:r>
      <w:r>
        <w:t>,</w:t>
      </w:r>
      <w:r w:rsidRPr="00A84020">
        <w:t>1997</w:t>
      </w:r>
      <w:r>
        <w:t>) are cited in this article, as they are also in other of Dr. Ben-Tor’s publications.</w:t>
      </w:r>
    </w:p>
  </w:footnote>
  <w:footnote w:id="39">
    <w:p w14:paraId="6D370F58" w14:textId="368610F2" w:rsidR="00B27F75" w:rsidRPr="00890E0E" w:rsidRDefault="00B27F75">
      <w:pPr>
        <w:pStyle w:val="FootnoteText"/>
        <w:rPr>
          <w:lang w:val="en-US"/>
        </w:rPr>
      </w:pPr>
      <w:r>
        <w:rPr>
          <w:rStyle w:val="FootnoteReference"/>
        </w:rPr>
        <w:footnoteRef/>
      </w:r>
      <w:r w:rsidRPr="00CC1BB6">
        <w:rPr>
          <w:i/>
          <w:lang w:val="en-US"/>
        </w:rPr>
        <w:t xml:space="preserve">Ashkelon </w:t>
      </w:r>
      <w:r w:rsidRPr="00211783">
        <w:rPr>
          <w:lang w:val="en-US"/>
        </w:rPr>
        <w:t>6</w:t>
      </w:r>
      <w:r>
        <w:rPr>
          <w:lang w:val="en-US"/>
        </w:rPr>
        <w:t xml:space="preserve">, </w:t>
      </w:r>
      <w:r>
        <w:t>pp. 338-339.</w:t>
      </w:r>
    </w:p>
  </w:footnote>
  <w:footnote w:id="40">
    <w:p w14:paraId="51CD1488" w14:textId="0E51306B" w:rsidR="00B27F75" w:rsidRPr="00907082" w:rsidRDefault="00B27F75">
      <w:pPr>
        <w:pStyle w:val="FootnoteText"/>
        <w:rPr>
          <w:lang w:val="en-US"/>
        </w:rPr>
      </w:pPr>
      <w:r>
        <w:rPr>
          <w:rStyle w:val="FootnoteReference"/>
        </w:rPr>
        <w:footnoteRef/>
      </w:r>
      <w:r>
        <w:rPr>
          <w:lang w:val="en-US"/>
        </w:rPr>
        <w:t>D. Ben-Tor, Scarabs of Byblos</w:t>
      </w:r>
      <w:r>
        <w:t>” and</w:t>
      </w:r>
      <w:r w:rsidRPr="00A54F81">
        <w:t xml:space="preserve"> </w:t>
      </w:r>
      <w:r>
        <w:t>“</w:t>
      </w:r>
      <w:r w:rsidRPr="008D39FD">
        <w:rPr>
          <w:lang w:val="en-US"/>
        </w:rPr>
        <w:t>Some</w:t>
      </w:r>
      <w:r w:rsidRPr="00F75C7F">
        <w:rPr>
          <w:lang w:val="en-US"/>
        </w:rPr>
        <w:t xml:space="preserve"> Observations on Egyptian-Levantine Relations in the Middle Kingdom</w:t>
      </w:r>
      <w:r>
        <w:rPr>
          <w:lang w:val="en-US"/>
        </w:rPr>
        <w:t>, additional details needed, forthcoming.</w:t>
      </w:r>
    </w:p>
  </w:footnote>
  <w:footnote w:id="41">
    <w:p w14:paraId="21C9FBD1" w14:textId="77777777" w:rsidR="00B27F75" w:rsidRDefault="00B27F75" w:rsidP="00253C22">
      <w:pPr>
        <w:pStyle w:val="FootnoteText"/>
      </w:pPr>
      <w:r>
        <w:rPr>
          <w:rStyle w:val="FootnoteReference"/>
        </w:rPr>
        <w:footnoteRef/>
      </w:r>
      <w:r>
        <w:t xml:space="preserve">J. M. Weinstein, </w:t>
      </w:r>
      <w:r w:rsidRPr="00D70834">
        <w:t>The Egyptian Empire in Palestine: A Reassessment</w:t>
      </w:r>
      <w:r>
        <w:t xml:space="preserve">, </w:t>
      </w:r>
      <w:r w:rsidRPr="00D70834">
        <w:rPr>
          <w:i/>
        </w:rPr>
        <w:t>Bulletin of the American Schools of Oriental Research</w:t>
      </w:r>
    </w:p>
    <w:p w14:paraId="5CCE554B" w14:textId="4BE6CE59" w:rsidR="00B27F75" w:rsidRPr="00D70834" w:rsidRDefault="00B27F75" w:rsidP="00253C22">
      <w:pPr>
        <w:pStyle w:val="FootnoteText"/>
        <w:rPr>
          <w:lang w:val="en-US"/>
        </w:rPr>
      </w:pPr>
      <w:r>
        <w:t>241 (1981), pp. 1-28.</w:t>
      </w:r>
    </w:p>
  </w:footnote>
  <w:footnote w:id="42">
    <w:p w14:paraId="54969F58" w14:textId="77777777" w:rsidR="00B27F75" w:rsidRPr="00811EF8" w:rsidRDefault="00B27F75" w:rsidP="00753BEB">
      <w:pPr>
        <w:pStyle w:val="FootnoteText"/>
        <w:rPr>
          <w:lang w:val="en-US"/>
        </w:rPr>
      </w:pPr>
      <w:r>
        <w:rPr>
          <w:rStyle w:val="FootnoteReference"/>
        </w:rPr>
        <w:footnoteRef/>
      </w:r>
      <w:r w:rsidRPr="000F306C">
        <w:rPr>
          <w:lang w:val="en-US"/>
        </w:rPr>
        <w:t xml:space="preserve">A. Mazar and R. A. Mullins, eds., </w:t>
      </w:r>
      <w:r w:rsidRPr="000F306C">
        <w:rPr>
          <w:i/>
          <w:lang w:val="en-US"/>
        </w:rPr>
        <w:t>Excavations at Tel Beth Shean 1989-1996</w:t>
      </w:r>
      <w:r w:rsidRPr="000F306C">
        <w:rPr>
          <w:lang w:val="en-US"/>
        </w:rPr>
        <w:t>,</w:t>
      </w:r>
      <w:r>
        <w:rPr>
          <w:lang w:val="en-US"/>
        </w:rPr>
        <w:t xml:space="preserve"> Volume 2: The Middle Bronze and Late Bronze Strata in Area R, </w:t>
      </w:r>
      <w:r w:rsidRPr="000F306C">
        <w:rPr>
          <w:lang w:val="en-US"/>
        </w:rPr>
        <w:t xml:space="preserve">Jerusalem: Israel Exploration Society, </w:t>
      </w:r>
      <w:r>
        <w:rPr>
          <w:lang w:val="en-US"/>
        </w:rPr>
        <w:t xml:space="preserve">Institute of Archaeology, Hebrew University, </w:t>
      </w:r>
      <w:r w:rsidRPr="000F306C">
        <w:rPr>
          <w:lang w:val="en-US"/>
        </w:rPr>
        <w:t>200</w:t>
      </w:r>
      <w:r>
        <w:rPr>
          <w:lang w:val="en-US"/>
        </w:rPr>
        <w:t>7</w:t>
      </w:r>
      <w:r w:rsidRPr="000F306C">
        <w:rPr>
          <w:lang w:val="en-US"/>
        </w:rPr>
        <w:t>.</w:t>
      </w:r>
    </w:p>
  </w:footnote>
  <w:footnote w:id="43">
    <w:p w14:paraId="236FE68F" w14:textId="77777777" w:rsidR="00B27F75" w:rsidRDefault="00B27F75" w:rsidP="00E73BD8">
      <w:pPr>
        <w:pStyle w:val="FootnoteText"/>
      </w:pPr>
      <w:r>
        <w:rPr>
          <w:rStyle w:val="FootnoteReference"/>
        </w:rPr>
        <w:footnoteRef/>
      </w:r>
      <w:r>
        <w:t>MB = Middle Bronze.  Sample nos. are cited in the following order as provided: grid no, square no., locus no., fill no., basket no. (if more than one, indicated by +.(basket no.)).  The</w:t>
      </w:r>
      <w:r>
        <w:rPr>
          <w:sz w:val="22"/>
          <w:szCs w:val="22"/>
        </w:rPr>
        <w:t xml:space="preserve"> </w:t>
      </w:r>
      <w:r>
        <w:t xml:space="preserve">Israel Antiquities Authority license no. is followed by the year that it was issued.  The pottery typological data provided by the Ashkelon expedition and Y. Goren were </w:t>
      </w:r>
      <w:bookmarkStart w:id="50" w:name="_Hlk8965997"/>
      <w:r>
        <w:t>cursory</w:t>
      </w:r>
      <w:bookmarkEnd w:id="50"/>
      <w:r>
        <w:t xml:space="preserve"> (e.g., paint colors and other specific features were not described), and figures and/or plates were not provided to double-check the descriptions.  Also, the specific MB II phases to which the samples should be assigned were not provided.</w:t>
      </w:r>
    </w:p>
  </w:footnote>
  <w:footnote w:id="44">
    <w:p w14:paraId="16ECCAA0" w14:textId="77777777" w:rsidR="00B27F75" w:rsidRDefault="00B27F75" w:rsidP="00E73BD8">
      <w:pPr>
        <w:pStyle w:val="FootnoteText"/>
      </w:pPr>
      <w:r>
        <w:rPr>
          <w:rStyle w:val="FootnoteReference"/>
        </w:rPr>
        <w:footnoteRef/>
      </w:r>
      <w:r>
        <w:t>nn = no number.</w:t>
      </w:r>
    </w:p>
  </w:footnote>
  <w:footnote w:id="45">
    <w:p w14:paraId="15262B54" w14:textId="77777777" w:rsidR="00B27F75" w:rsidRDefault="00B27F75" w:rsidP="00E73BD8">
      <w:pPr>
        <w:pStyle w:val="FootnoteText"/>
      </w:pPr>
      <w:r>
        <w:rPr>
          <w:rStyle w:val="FootnoteReference"/>
        </w:rPr>
        <w:footnoteRef/>
      </w:r>
      <w:r>
        <w:t>MC = material culture.</w:t>
      </w:r>
    </w:p>
  </w:footnote>
  <w:footnote w:id="46">
    <w:p w14:paraId="7458E8C4" w14:textId="77777777" w:rsidR="00B27F75" w:rsidRDefault="00B27F75" w:rsidP="00E73BD8">
      <w:pPr>
        <w:pStyle w:val="FootnoteText"/>
      </w:pPr>
      <w:r>
        <w:rPr>
          <w:rStyle w:val="FootnoteReference"/>
        </w:rPr>
        <w:footnoteRef/>
      </w:r>
      <w:r>
        <w:rPr>
          <w:i/>
        </w:rPr>
        <w:t>Ashkelon 6</w:t>
      </w:r>
      <w:r>
        <w:t xml:space="preserve"> =</w:t>
      </w:r>
      <w:r>
        <w:rPr>
          <w:sz w:val="22"/>
          <w:szCs w:val="22"/>
        </w:rPr>
        <w:t xml:space="preserve"> </w:t>
      </w:r>
      <w:r>
        <w:rPr>
          <w:i/>
        </w:rPr>
        <w:t>Ashkelon 6: The Middle Bronze Age Ramparts and Gates of the North Slope and Later Fortifications</w:t>
      </w:r>
      <w:r>
        <w:t>, Final Reports of The Leon Levy Expedition to Ashkelon, eds. L. E. Stager, J. D. Schloen, and R. J. Voss, University Park, PA: Pennsylvania State University Press and Eisenbrauns, 2018.  See chapter 12 (D. Ben-Tor and L. Bell, ”Clay Sealings from the Moat Deposit”) for the catalogue entries., and chapter 13 (B. Brandl, “Morphology and Function of the Sealings from the Moat Deposit” for the figures).</w:t>
      </w:r>
    </w:p>
  </w:footnote>
  <w:footnote w:id="47">
    <w:p w14:paraId="11E68A56" w14:textId="77777777" w:rsidR="00B27F75" w:rsidRDefault="00B27F75" w:rsidP="00E73BD8">
      <w:pPr>
        <w:pStyle w:val="FootnoteText"/>
      </w:pPr>
      <w:r w:rsidRPr="00C87B1A">
        <w:rPr>
          <w:rStyle w:val="FootnoteReference"/>
        </w:rPr>
        <w:footnoteRef/>
      </w:r>
      <w:r w:rsidRPr="00FF7D5D">
        <w:t xml:space="preserve">This table is based </w:t>
      </w:r>
      <w:r>
        <w:t xml:space="preserve">on </w:t>
      </w:r>
      <w:r w:rsidRPr="00FF7D5D">
        <w:t xml:space="preserve">a modified version of table 3 in Cohen-Weinberger and Goren 2004, together with an unpublished 1997 manuscript of Yuval Goren, submitted for publication in this monograph.  Corrections to the original table include substituting “? (possibly Southern Palestine)” for “most similar to Southern Palestine,” because these NAA assignments are </w:t>
      </w:r>
      <w:r w:rsidRPr="00FF7D5D">
        <w:rPr>
          <w:b/>
        </w:rPr>
        <w:t>uncertain</w:t>
      </w:r>
      <w:r w:rsidRPr="00FF7D5D">
        <w:t xml:space="preserve"> according to stringent statistical criteria.  </w:t>
      </w:r>
      <w:r>
        <w:t xml:space="preserve">The phrase “Most similar to” is only used where NAA samples are within a 0.1 mean Euclidean distance </w:t>
      </w:r>
      <w:r w:rsidRPr="0024589D">
        <w:t>of the defined</w:t>
      </w:r>
      <w:r>
        <w:t xml:space="preserve"> </w:t>
      </w:r>
      <w:r w:rsidRPr="0024589D">
        <w:t>regional group</w:t>
      </w:r>
      <w:r>
        <w:t xml:space="preserve"> </w:t>
      </w:r>
      <w:r w:rsidRPr="0024589D">
        <w:t>(</w:t>
      </w:r>
      <w:r>
        <w:t>see the discussion in Chapter 1 of the monograph).</w:t>
      </w:r>
    </w:p>
    <w:p w14:paraId="5455C4B5" w14:textId="5559B540" w:rsidR="00B27F75" w:rsidRPr="00FF7D5D" w:rsidRDefault="00B27F75" w:rsidP="00E73BD8">
      <w:pPr>
        <w:pStyle w:val="FootnoteText"/>
        <w:ind w:firstLine="720"/>
      </w:pPr>
      <w:r w:rsidRPr="00FF7D5D">
        <w:t xml:space="preserve">Note that the following petrographic samples were omitted from </w:t>
      </w:r>
      <w:r>
        <w:t xml:space="preserve">the 2004 </w:t>
      </w:r>
      <w:r w:rsidRPr="00FF7D5D">
        <w:t xml:space="preserve">table, although they were </w:t>
      </w:r>
      <w:r w:rsidR="007347F8">
        <w:t>examin</w:t>
      </w:r>
      <w:r w:rsidRPr="00FF7D5D">
        <w:t xml:space="preserve">ed according to </w:t>
      </w:r>
      <w:r>
        <w:t xml:space="preserve">the 1997 </w:t>
      </w:r>
      <w:r w:rsidRPr="00FF7D5D">
        <w:t xml:space="preserve">table: JH103 (Red Polished Dipper Juglet), JH118 (Canaanite Jar), and JH833 (Black Polished Juglet).  </w:t>
      </w:r>
      <w:r>
        <w:t xml:space="preserve"> No explanation was provided for these omissions.</w:t>
      </w:r>
    </w:p>
    <w:p w14:paraId="796827D2" w14:textId="77777777" w:rsidR="00B27F75" w:rsidRPr="00FF7D5D" w:rsidRDefault="00B27F75" w:rsidP="00E73BD8">
      <w:pPr>
        <w:pStyle w:val="FootnoteText"/>
        <w:ind w:firstLine="720"/>
      </w:pPr>
      <w:r w:rsidRPr="00FF7D5D">
        <w:t xml:space="preserve">+ = good agreement; - = poor agreement; ? = possible agreement according to Cohen-Weinberger and Goren 2004: 84-85 (appendix), but here parenthetically corrected as </w:t>
      </w:r>
      <w:r>
        <w:t>“</w:t>
      </w:r>
      <w:r w:rsidRPr="00FF7D5D">
        <w:t>? (should be -)</w:t>
      </w:r>
      <w:r>
        <w:t>”</w:t>
      </w:r>
      <w:r w:rsidRPr="00FF7D5D">
        <w:t xml:space="preserve"> or</w:t>
      </w:r>
      <w:r>
        <w:t xml:space="preserve"> “</w:t>
      </w:r>
      <w:r w:rsidRPr="00FF7D5D">
        <w:t>? (should be +)</w:t>
      </w:r>
      <w:r>
        <w:t xml:space="preserve"> </w:t>
      </w:r>
      <w:r w:rsidRPr="00FF7D5D">
        <w:t xml:space="preserve">due to </w:t>
      </w:r>
      <w:r>
        <w:t>“no information” or questionable NAA provenance</w:t>
      </w:r>
      <w:r w:rsidRPr="00FF7D5D">
        <w:t xml:space="preserve">; and N.D. = </w:t>
      </w:r>
      <w:r>
        <w:t>“</w:t>
      </w:r>
      <w:r w:rsidRPr="00FF7D5D">
        <w:t>not determined,</w:t>
      </w:r>
      <w:r>
        <w:t>”</w:t>
      </w:r>
      <w:r w:rsidRPr="00FF7D5D">
        <w:t xml:space="preserve"> but here parenthetically corrected as </w:t>
      </w:r>
      <w:r>
        <w:t>“</w:t>
      </w:r>
      <w:r w:rsidRPr="00FF7D5D">
        <w:t>N.D. (should be -)</w:t>
      </w:r>
      <w:r>
        <w:t>”</w:t>
      </w:r>
      <w:r w:rsidRPr="00577FF9">
        <w:t xml:space="preserve"> </w:t>
      </w:r>
      <w:r w:rsidRPr="00FF7D5D">
        <w:t xml:space="preserve">due to </w:t>
      </w:r>
      <w:r>
        <w:t xml:space="preserve">“no information” or questionable NAA provenance  </w:t>
      </w:r>
      <w:r w:rsidRPr="00FF7D5D">
        <w:t>? is reserved for truly questionable provenances in all instances, rather than possible matches (Cohen-Weinberger and Goren 2004: 85).</w:t>
      </w:r>
    </w:p>
  </w:footnote>
  <w:footnote w:id="48">
    <w:p w14:paraId="1A9E5B7B" w14:textId="77777777" w:rsidR="00B27F75" w:rsidRDefault="00B27F75" w:rsidP="003317AE">
      <w:pPr>
        <w:pStyle w:val="FootnoteText"/>
      </w:pPr>
      <w:r>
        <w:rPr>
          <w:rStyle w:val="FootnoteReference"/>
        </w:rPr>
        <w:footnoteRef/>
      </w:r>
      <w:r>
        <w:t xml:space="preserve"> The petrographic microscope was invented in 1829, the first mass spectrometer was built in 1927, and the first optical emissions spectrometer built in 1937.</w:t>
      </w:r>
    </w:p>
  </w:footnote>
  <w:footnote w:id="49">
    <w:p w14:paraId="482850EE" w14:textId="1FB4025E" w:rsidR="00B27F75" w:rsidRDefault="00B27F75" w:rsidP="003317AE">
      <w:pPr>
        <w:pStyle w:val="FootnoteText"/>
      </w:pPr>
      <w:r>
        <w:rPr>
          <w:rStyle w:val="FootnoteReference"/>
        </w:rPr>
        <w:footnoteRef/>
      </w:r>
      <w:r>
        <w:t xml:space="preserve"> See page 11, line 31 of Goren et al. (2004).  Line citations include </w:t>
      </w:r>
    </w:p>
  </w:footnote>
  <w:footnote w:id="50">
    <w:p w14:paraId="4DB58CBB" w14:textId="77777777" w:rsidR="00B27F75" w:rsidRDefault="00B27F75" w:rsidP="003317AE">
      <w:pPr>
        <w:pStyle w:val="FootnoteText"/>
      </w:pPr>
      <w:r>
        <w:rPr>
          <w:rStyle w:val="FootnoteReference"/>
        </w:rPr>
        <w:footnoteRef/>
      </w:r>
      <w:r>
        <w:t xml:space="preserve"> See page 11, lines 19-21 of Goren et al. (2004).</w:t>
      </w:r>
    </w:p>
  </w:footnote>
  <w:footnote w:id="51">
    <w:p w14:paraId="48E4CCB5" w14:textId="77777777" w:rsidR="00B27F75" w:rsidRDefault="00B27F75" w:rsidP="003317AE">
      <w:pPr>
        <w:pStyle w:val="FootnoteText"/>
      </w:pPr>
      <w:r>
        <w:rPr>
          <w:rStyle w:val="FootnoteReference"/>
        </w:rPr>
        <w:footnoteRef/>
      </w:r>
      <w:r>
        <w:t xml:space="preserve"> See page 11, lines 34-37 of Goren et al. (2004).</w:t>
      </w:r>
    </w:p>
  </w:footnote>
  <w:footnote w:id="52">
    <w:p w14:paraId="0C8E0F61" w14:textId="77777777" w:rsidR="00B27F75" w:rsidRDefault="00B27F75" w:rsidP="003317AE">
      <w:pPr>
        <w:pStyle w:val="FootnoteText"/>
      </w:pPr>
      <w:r>
        <w:rPr>
          <w:rStyle w:val="FootnoteReference"/>
        </w:rPr>
        <w:footnoteRef/>
      </w:r>
      <w:r>
        <w:t xml:space="preserve"> </w:t>
      </w:r>
      <w:r w:rsidRPr="009228B2">
        <w:t>See page 1</w:t>
      </w:r>
      <w:r>
        <w:t>4</w:t>
      </w:r>
      <w:r w:rsidRPr="009228B2">
        <w:t xml:space="preserve">, </w:t>
      </w:r>
      <w:r>
        <w:t>Sample Evaluation section</w:t>
      </w:r>
      <w:r w:rsidRPr="009228B2">
        <w:t xml:space="preserve"> of Goren et al. (2004</w:t>
      </w:r>
      <w:r>
        <w:t>).</w:t>
      </w:r>
    </w:p>
  </w:footnote>
  <w:footnote w:id="53">
    <w:p w14:paraId="40F0A4A0" w14:textId="77777777" w:rsidR="00B27F75" w:rsidRDefault="00B27F75" w:rsidP="003317AE">
      <w:pPr>
        <w:pStyle w:val="FootnoteText"/>
      </w:pPr>
      <w:r>
        <w:rPr>
          <w:rStyle w:val="FootnoteReference"/>
        </w:rPr>
        <w:footnoteRef/>
      </w:r>
      <w:r>
        <w:t xml:space="preserve"> Cohen-Weinberger and Goren (2004), page 71, col. 1, lines 34-36.</w:t>
      </w:r>
    </w:p>
  </w:footnote>
  <w:footnote w:id="54">
    <w:p w14:paraId="6AE8644A" w14:textId="77777777" w:rsidR="00B27F75" w:rsidRDefault="00B27F75" w:rsidP="003317AE">
      <w:pPr>
        <w:pStyle w:val="FootnoteText"/>
      </w:pPr>
      <w:r>
        <w:rPr>
          <w:rStyle w:val="FootnoteReference"/>
        </w:rPr>
        <w:footnoteRef/>
      </w:r>
      <w:r>
        <w:t xml:space="preserve"> A catalogue of the 22,500+ ISO standards can be obtained at: </w:t>
      </w:r>
      <w:hyperlink r:id="rId14" w:history="1">
        <w:r w:rsidRPr="00C85B83">
          <w:rPr>
            <w:rStyle w:val="Hyperlink"/>
          </w:rPr>
          <w:t>https://www.iso.org/standards-catalogue/browse-by-ics.html</w:t>
        </w:r>
      </w:hyperlink>
      <w:r>
        <w:t>.</w:t>
      </w:r>
    </w:p>
  </w:footnote>
  <w:footnote w:id="55">
    <w:p w14:paraId="705C66BD" w14:textId="77777777" w:rsidR="00B27F75" w:rsidRDefault="00B27F75" w:rsidP="003317AE">
      <w:pPr>
        <w:pStyle w:val="FootnoteText"/>
      </w:pPr>
      <w:r>
        <w:rPr>
          <w:rStyle w:val="FootnoteReference"/>
        </w:rPr>
        <w:footnoteRef/>
      </w:r>
      <w:r>
        <w:t xml:space="preserve"> A catalogue of the 12,000+ ASTM standards can be obtained at: </w:t>
      </w:r>
      <w:hyperlink r:id="rId15" w:history="1">
        <w:r w:rsidRPr="00C85B83">
          <w:rPr>
            <w:rStyle w:val="Hyperlink"/>
          </w:rPr>
          <w:t>https://www.astm.org/BOOKSTORE/BOS/index.html</w:t>
        </w:r>
      </w:hyperlink>
      <w:r>
        <w:rPr>
          <w:rStyle w:val="Hyperlink"/>
        </w:rPr>
        <w:t>.</w:t>
      </w:r>
      <w:r>
        <w:t xml:space="preserve"> </w:t>
      </w:r>
    </w:p>
  </w:footnote>
  <w:footnote w:id="56">
    <w:p w14:paraId="23DE443E" w14:textId="77777777" w:rsidR="00B27F75" w:rsidRPr="004D51B9" w:rsidRDefault="00B27F75" w:rsidP="003317AE">
      <w:pPr>
        <w:pStyle w:val="FootnoteText"/>
        <w:rPr>
          <w:lang w:val="fr-CD"/>
        </w:rPr>
      </w:pPr>
      <w:r>
        <w:rPr>
          <w:rStyle w:val="FootnoteReference"/>
        </w:rPr>
        <w:footnoteRef/>
      </w:r>
      <w:r w:rsidRPr="004D51B9">
        <w:rPr>
          <w:lang w:val="fr-CD"/>
        </w:rPr>
        <w:t xml:space="preserve"> Goren et al. (2004), page 13, lines 9-10; page 63, line 11</w:t>
      </w:r>
      <w:r>
        <w:rPr>
          <w:lang w:val="fr-CD"/>
        </w:rPr>
        <w:t>.</w:t>
      </w:r>
    </w:p>
  </w:footnote>
  <w:footnote w:id="57">
    <w:p w14:paraId="20ECC170" w14:textId="77777777" w:rsidR="00B27F75" w:rsidRDefault="00B27F75" w:rsidP="003317AE">
      <w:pPr>
        <w:pStyle w:val="FootnoteText"/>
      </w:pPr>
      <w:r>
        <w:rPr>
          <w:rStyle w:val="FootnoteReference"/>
        </w:rPr>
        <w:footnoteRef/>
      </w:r>
      <w:r>
        <w:t xml:space="preserve"> Goren et al (2011) page 687, column 2, lines 1-4.</w:t>
      </w:r>
    </w:p>
  </w:footnote>
  <w:footnote w:id="58">
    <w:p w14:paraId="35C5A108" w14:textId="77777777" w:rsidR="00B27F75" w:rsidRDefault="00B27F75" w:rsidP="003317AE">
      <w:pPr>
        <w:pStyle w:val="FootnoteText"/>
      </w:pPr>
      <w:r>
        <w:rPr>
          <w:rStyle w:val="FootnoteReference"/>
        </w:rPr>
        <w:footnoteRef/>
      </w:r>
      <w:r>
        <w:t xml:space="preserve"> See page 13, lines 5-6 of Goren et al. (2004).</w:t>
      </w:r>
    </w:p>
  </w:footnote>
  <w:footnote w:id="59">
    <w:p w14:paraId="79BF8459" w14:textId="77777777" w:rsidR="00B27F75" w:rsidRDefault="00B27F75" w:rsidP="003317AE">
      <w:pPr>
        <w:pStyle w:val="FootnoteText"/>
      </w:pPr>
      <w:r>
        <w:rPr>
          <w:rStyle w:val="FootnoteReference"/>
        </w:rPr>
        <w:footnoteRef/>
      </w:r>
      <w:r>
        <w:t xml:space="preserve"> See page 11, lines 23-24 of Goren et al. (2004).</w:t>
      </w:r>
    </w:p>
  </w:footnote>
  <w:footnote w:id="60">
    <w:p w14:paraId="43453F5F" w14:textId="77777777" w:rsidR="00B27F75" w:rsidRPr="00EF0AAC" w:rsidRDefault="00B27F75" w:rsidP="003317AE">
      <w:pPr>
        <w:pStyle w:val="FootnoteText"/>
      </w:pPr>
      <w:r>
        <w:rPr>
          <w:rStyle w:val="FootnoteReference"/>
        </w:rPr>
        <w:footnoteRef/>
      </w:r>
      <w:r>
        <w:t xml:space="preserve"> See page 13, lines 16-17 of Goren et al. </w:t>
      </w:r>
      <w:r w:rsidRPr="00EF0AAC">
        <w:t>(2004)</w:t>
      </w:r>
      <w:r>
        <w:t>.</w:t>
      </w:r>
    </w:p>
  </w:footnote>
  <w:footnote w:id="61">
    <w:p w14:paraId="529CEEDC" w14:textId="77777777" w:rsidR="00B27F75" w:rsidRPr="00EF0AAC" w:rsidRDefault="00B27F75" w:rsidP="003317AE">
      <w:pPr>
        <w:pStyle w:val="FootnoteText"/>
      </w:pPr>
      <w:r>
        <w:rPr>
          <w:rStyle w:val="FootnoteReference"/>
        </w:rPr>
        <w:footnoteRef/>
      </w:r>
      <w:r w:rsidRPr="00EF0AAC">
        <w:t xml:space="preserve"> https://www.thermofisher.com/order/catalog/product/XL3TGOLDDPLUS</w:t>
      </w:r>
      <w:r>
        <w:t>.</w:t>
      </w:r>
    </w:p>
  </w:footnote>
  <w:footnote w:id="62">
    <w:p w14:paraId="69845578" w14:textId="77777777" w:rsidR="00B27F75" w:rsidRPr="004D51B9" w:rsidRDefault="00B27F75" w:rsidP="003317AE">
      <w:pPr>
        <w:pStyle w:val="FootnoteText"/>
        <w:rPr>
          <w:lang w:val="fr-CD"/>
        </w:rPr>
      </w:pPr>
      <w:r>
        <w:rPr>
          <w:rStyle w:val="FootnoteReference"/>
        </w:rPr>
        <w:footnoteRef/>
      </w:r>
      <w:r w:rsidRPr="004D51B9">
        <w:rPr>
          <w:lang w:val="fr-CD"/>
        </w:rPr>
        <w:t xml:space="preserve"> Goren et al. (2004) page 13, lines 10-11; page 63, lines</w:t>
      </w:r>
      <w:r>
        <w:rPr>
          <w:lang w:val="fr-CD"/>
        </w:rPr>
        <w:t xml:space="preserve"> 13-14.</w:t>
      </w:r>
    </w:p>
  </w:footnote>
  <w:footnote w:id="63">
    <w:p w14:paraId="14CFDDD9" w14:textId="77777777" w:rsidR="00B27F75" w:rsidRDefault="00B27F75" w:rsidP="003317AE">
      <w:pPr>
        <w:pStyle w:val="FootnoteText"/>
      </w:pPr>
      <w:r>
        <w:rPr>
          <w:rStyle w:val="FootnoteReference"/>
        </w:rPr>
        <w:footnoteRef/>
      </w:r>
      <w:r>
        <w:t xml:space="preserve"> </w:t>
      </w:r>
      <w:r w:rsidRPr="008C66BD">
        <w:t>See page 1</w:t>
      </w:r>
      <w:r>
        <w:t>9</w:t>
      </w:r>
      <w:r w:rsidRPr="008C66BD">
        <w:t>,</w:t>
      </w:r>
      <w:r>
        <w:t xml:space="preserve"> Statistics section, 1</w:t>
      </w:r>
      <w:r w:rsidRPr="008C66BD">
        <w:rPr>
          <w:vertAlign w:val="superscript"/>
        </w:rPr>
        <w:t>st</w:t>
      </w:r>
      <w:r>
        <w:t xml:space="preserve"> paragraph </w:t>
      </w:r>
      <w:r w:rsidRPr="008C66BD">
        <w:t>of Goren et al. (2004)</w:t>
      </w:r>
      <w:r>
        <w:t>.</w:t>
      </w:r>
    </w:p>
  </w:footnote>
  <w:footnote w:id="64">
    <w:p w14:paraId="057E8DF9" w14:textId="77777777" w:rsidR="00B27F75" w:rsidRDefault="00B27F75" w:rsidP="003317AE">
      <w:pPr>
        <w:pStyle w:val="FootnoteText"/>
      </w:pPr>
      <w:r>
        <w:rPr>
          <w:rStyle w:val="FootnoteReference"/>
        </w:rPr>
        <w:footnoteRef/>
      </w:r>
      <w:r>
        <w:t xml:space="preserve"> </w:t>
      </w:r>
      <w:r w:rsidRPr="008C66BD">
        <w:t>See page 1</w:t>
      </w:r>
      <w:r>
        <w:t>9</w:t>
      </w:r>
      <w:r w:rsidRPr="008C66BD">
        <w:t>,</w:t>
      </w:r>
      <w:r>
        <w:t xml:space="preserve"> lines 26-27 </w:t>
      </w:r>
      <w:r w:rsidRPr="008C66BD">
        <w:t>of Goren et al. (2004)</w:t>
      </w:r>
      <w:r>
        <w:t>.</w:t>
      </w:r>
    </w:p>
  </w:footnote>
  <w:footnote w:id="65">
    <w:p w14:paraId="63194F83" w14:textId="77777777" w:rsidR="00B27F75" w:rsidRDefault="00B27F75" w:rsidP="003317AE">
      <w:pPr>
        <w:pStyle w:val="FootnoteText"/>
      </w:pPr>
      <w:r>
        <w:rPr>
          <w:rStyle w:val="FootnoteReference"/>
        </w:rPr>
        <w:footnoteRef/>
      </w:r>
      <w:r>
        <w:t xml:space="preserve"> </w:t>
      </w:r>
      <w:r w:rsidRPr="008C66BD">
        <w:t>See page 1</w:t>
      </w:r>
      <w:r>
        <w:t>9</w:t>
      </w:r>
      <w:r w:rsidRPr="008C66BD">
        <w:t>,</w:t>
      </w:r>
      <w:r>
        <w:t xml:space="preserve"> lines 28-29 </w:t>
      </w:r>
      <w:r w:rsidRPr="008C66BD">
        <w:t>of Goren et al. (2004)</w:t>
      </w:r>
      <w:r>
        <w:t>.</w:t>
      </w:r>
    </w:p>
  </w:footnote>
  <w:footnote w:id="66">
    <w:p w14:paraId="5D0C4E6C" w14:textId="77777777" w:rsidR="00B27F75" w:rsidRDefault="00B27F75" w:rsidP="003317AE">
      <w:pPr>
        <w:pStyle w:val="FootnoteText"/>
      </w:pPr>
      <w:r>
        <w:rPr>
          <w:rStyle w:val="FootnoteReference"/>
        </w:rPr>
        <w:footnoteRef/>
      </w:r>
      <w:r>
        <w:t xml:space="preserve"> </w:t>
      </w:r>
      <w:r w:rsidRPr="008C66BD">
        <w:t>See page 1</w:t>
      </w:r>
      <w:r>
        <w:t>9</w:t>
      </w:r>
      <w:r w:rsidRPr="008C66BD">
        <w:t>,</w:t>
      </w:r>
      <w:r>
        <w:t xml:space="preserve"> lines 29-30 </w:t>
      </w:r>
      <w:r w:rsidRPr="008C66BD">
        <w:t>of Goren et al. (2004)</w:t>
      </w:r>
      <w:r>
        <w:t>.</w:t>
      </w:r>
    </w:p>
  </w:footnote>
  <w:footnote w:id="67">
    <w:p w14:paraId="3C296C69" w14:textId="77777777" w:rsidR="00B27F75" w:rsidRDefault="00B27F75" w:rsidP="003317AE">
      <w:pPr>
        <w:pStyle w:val="FootnoteText"/>
      </w:pPr>
      <w:r>
        <w:rPr>
          <w:rStyle w:val="FootnoteReference"/>
        </w:rPr>
        <w:footnoteRef/>
      </w:r>
      <w:r>
        <w:t xml:space="preserve"> </w:t>
      </w:r>
      <w:r w:rsidRPr="008C66BD">
        <w:t>See p</w:t>
      </w:r>
      <w:r>
        <w:t>age 6</w:t>
      </w:r>
      <w:r w:rsidRPr="008C66BD">
        <w:t>,</w:t>
      </w:r>
      <w:r>
        <w:t xml:space="preserve"> line 3 </w:t>
      </w:r>
      <w:r w:rsidRPr="008C66BD">
        <w:t>of Goren et al. (2004)</w:t>
      </w:r>
      <w:r>
        <w:t>.</w:t>
      </w:r>
    </w:p>
  </w:footnote>
  <w:footnote w:id="68">
    <w:p w14:paraId="1C30D68F" w14:textId="77777777" w:rsidR="00B27F75" w:rsidRDefault="00B27F75" w:rsidP="003317AE">
      <w:pPr>
        <w:pStyle w:val="FootnoteText"/>
      </w:pPr>
      <w:r>
        <w:rPr>
          <w:rStyle w:val="FootnoteReference"/>
        </w:rPr>
        <w:footnoteRef/>
      </w:r>
      <w:r>
        <w:t xml:space="preserve"> </w:t>
      </w:r>
      <w:r w:rsidRPr="008C66BD">
        <w:t>See page 1</w:t>
      </w:r>
      <w:r>
        <w:t>9</w:t>
      </w:r>
      <w:r w:rsidRPr="008C66BD">
        <w:t>,</w:t>
      </w:r>
      <w:r>
        <w:t xml:space="preserve"> lines 30-31 </w:t>
      </w:r>
      <w:r w:rsidRPr="008C66BD">
        <w:t>of Goren et al. (2004)</w:t>
      </w:r>
      <w:r>
        <w:t>.</w:t>
      </w:r>
    </w:p>
  </w:footnote>
  <w:footnote w:id="69">
    <w:p w14:paraId="18A3DA55" w14:textId="77777777" w:rsidR="00B27F75" w:rsidRDefault="00B27F75" w:rsidP="003317AE">
      <w:pPr>
        <w:pStyle w:val="FootnoteText"/>
      </w:pPr>
      <w:r>
        <w:rPr>
          <w:rStyle w:val="FootnoteReference"/>
        </w:rPr>
        <w:footnoteRef/>
      </w:r>
      <w:r>
        <w:t xml:space="preserve"> </w:t>
      </w:r>
      <w:r w:rsidRPr="00E4032F">
        <w:t xml:space="preserve">See page 19, lines </w:t>
      </w:r>
      <w:r>
        <w:t>33-34</w:t>
      </w:r>
      <w:r w:rsidRPr="00E4032F">
        <w:t xml:space="preserve"> of Goren et al. (2004)</w:t>
      </w:r>
      <w:r>
        <w:t>.</w:t>
      </w:r>
    </w:p>
  </w:footnote>
  <w:footnote w:id="70">
    <w:p w14:paraId="60FBB310" w14:textId="77777777" w:rsidR="00B27F75" w:rsidRDefault="00B27F75" w:rsidP="003317AE">
      <w:pPr>
        <w:pStyle w:val="FootnoteText"/>
      </w:pPr>
      <w:r>
        <w:rPr>
          <w:rStyle w:val="FootnoteReference"/>
        </w:rPr>
        <w:footnoteRef/>
      </w:r>
      <w:r>
        <w:t xml:space="preserve"> </w:t>
      </w:r>
      <w:r w:rsidRPr="007D5195">
        <w:t xml:space="preserve">See page 19, lines </w:t>
      </w:r>
      <w:r>
        <w:t>36-37</w:t>
      </w:r>
      <w:r w:rsidRPr="007D5195">
        <w:t xml:space="preserve"> of Goren et al. (2004)</w:t>
      </w:r>
      <w:r>
        <w:t>.</w:t>
      </w:r>
    </w:p>
  </w:footnote>
  <w:footnote w:id="71">
    <w:p w14:paraId="331151E4" w14:textId="77777777" w:rsidR="00B27F75" w:rsidRPr="004D51B9" w:rsidRDefault="00B27F75" w:rsidP="003317AE">
      <w:pPr>
        <w:pStyle w:val="FootnoteText"/>
        <w:rPr>
          <w:lang w:val="fr-CD"/>
        </w:rPr>
      </w:pPr>
      <w:r>
        <w:rPr>
          <w:rStyle w:val="FootnoteReference"/>
        </w:rPr>
        <w:footnoteRef/>
      </w:r>
      <w:r>
        <w:t xml:space="preserve"> </w:t>
      </w:r>
      <w:r w:rsidRPr="005134C3">
        <w:t xml:space="preserve">See page 19, lines </w:t>
      </w:r>
      <w:r>
        <w:t>37-39</w:t>
      </w:r>
      <w:r w:rsidRPr="005134C3">
        <w:t xml:space="preserve"> of Goren et al. </w:t>
      </w:r>
      <w:r w:rsidRPr="004D51B9">
        <w:rPr>
          <w:lang w:val="fr-CD"/>
        </w:rPr>
        <w:t>(2004)</w:t>
      </w:r>
      <w:r>
        <w:rPr>
          <w:lang w:val="fr-CD"/>
        </w:rPr>
        <w:t>.</w:t>
      </w:r>
    </w:p>
  </w:footnote>
  <w:footnote w:id="72">
    <w:p w14:paraId="3A7F72F1" w14:textId="77777777" w:rsidR="00B27F75" w:rsidRPr="004D51B9" w:rsidRDefault="00B27F75" w:rsidP="003317AE">
      <w:pPr>
        <w:pStyle w:val="FootnoteText"/>
        <w:rPr>
          <w:lang w:val="fr-CD"/>
        </w:rPr>
      </w:pPr>
      <w:r>
        <w:rPr>
          <w:rStyle w:val="FootnoteReference"/>
        </w:rPr>
        <w:footnoteRef/>
      </w:r>
      <w:r w:rsidRPr="004D51B9">
        <w:rPr>
          <w:lang w:val="fr-CD"/>
        </w:rPr>
        <w:t xml:space="preserve"> Goren et al. (2004), page 63, lines 13-14</w:t>
      </w:r>
      <w:r>
        <w:rPr>
          <w:lang w:val="fr-CD"/>
        </w:rPr>
        <w:t>.</w:t>
      </w:r>
    </w:p>
  </w:footnote>
  <w:footnote w:id="73">
    <w:p w14:paraId="46695C98" w14:textId="77777777" w:rsidR="00B27F75" w:rsidRDefault="00B27F75" w:rsidP="003317AE">
      <w:pPr>
        <w:pStyle w:val="FootnoteText"/>
      </w:pPr>
      <w:r>
        <w:rPr>
          <w:rStyle w:val="FootnoteReference"/>
        </w:rPr>
        <w:footnoteRef/>
      </w:r>
      <w:r>
        <w:t xml:space="preserve"> Cohen-Weinberger and Goren (2004), page 85, col. 2, lines 20-22.</w:t>
      </w:r>
    </w:p>
  </w:footnote>
  <w:footnote w:id="74">
    <w:p w14:paraId="53121347" w14:textId="77777777" w:rsidR="00B27F75" w:rsidRDefault="00B27F75" w:rsidP="003317AE">
      <w:pPr>
        <w:pStyle w:val="FootnoteText"/>
      </w:pPr>
      <w:r>
        <w:rPr>
          <w:rStyle w:val="FootnoteReference"/>
        </w:rPr>
        <w:footnoteRef/>
      </w:r>
      <w:r>
        <w:t xml:space="preserve"> </w:t>
      </w:r>
      <w:r w:rsidRPr="00BF040D">
        <w:t xml:space="preserve">See page </w:t>
      </w:r>
      <w:r>
        <w:t>4</w:t>
      </w:r>
      <w:r w:rsidRPr="00BF040D">
        <w:t>,</w:t>
      </w:r>
      <w:r>
        <w:t xml:space="preserve"> paragraph e under Clay Production Systems in</w:t>
      </w:r>
      <w:r w:rsidRPr="00BF040D">
        <w:t xml:space="preserve"> Goren et al. (2004)</w:t>
      </w:r>
      <w:r>
        <w:t>.</w:t>
      </w:r>
    </w:p>
  </w:footnote>
  <w:footnote w:id="75">
    <w:p w14:paraId="777A5F62" w14:textId="77777777" w:rsidR="00B27F75" w:rsidRDefault="00B27F75" w:rsidP="003317AE">
      <w:pPr>
        <w:pStyle w:val="FootnoteText"/>
      </w:pPr>
      <w:r>
        <w:rPr>
          <w:rStyle w:val="FootnoteReference"/>
        </w:rPr>
        <w:footnoteRef/>
      </w:r>
      <w:r>
        <w:t xml:space="preserve"> </w:t>
      </w:r>
      <w:r w:rsidRPr="00464356">
        <w:t xml:space="preserve">See page </w:t>
      </w:r>
      <w:r>
        <w:t>76, line</w:t>
      </w:r>
      <w:r w:rsidRPr="00464356">
        <w:t xml:space="preserve"> </w:t>
      </w:r>
      <w:r>
        <w:t>27</w:t>
      </w:r>
      <w:r w:rsidRPr="00464356">
        <w:t xml:space="preserve"> of Goren et al. (2004)</w:t>
      </w:r>
      <w:r>
        <w:t>.</w:t>
      </w:r>
    </w:p>
  </w:footnote>
  <w:footnote w:id="76">
    <w:p w14:paraId="2CAA3594" w14:textId="77777777" w:rsidR="00B27F75" w:rsidRDefault="00B27F75" w:rsidP="003317AE">
      <w:pPr>
        <w:pStyle w:val="FootnoteText"/>
      </w:pPr>
      <w:r>
        <w:rPr>
          <w:rStyle w:val="FootnoteReference"/>
        </w:rPr>
        <w:footnoteRef/>
      </w:r>
      <w:r>
        <w:t xml:space="preserve"> </w:t>
      </w:r>
      <w:r w:rsidRPr="00DB1C08">
        <w:t xml:space="preserve">See page </w:t>
      </w:r>
      <w:r>
        <w:t>134,</w:t>
      </w:r>
      <w:r w:rsidRPr="00DB1C08">
        <w:t xml:space="preserve"> line</w:t>
      </w:r>
      <w:r>
        <w:t>s 13-14</w:t>
      </w:r>
      <w:r w:rsidRPr="00DB1C08">
        <w:t xml:space="preserve"> of Goren et al. (2004)</w:t>
      </w:r>
      <w:r>
        <w:t>.</w:t>
      </w:r>
    </w:p>
  </w:footnote>
  <w:footnote w:id="77">
    <w:p w14:paraId="18D635BA" w14:textId="77777777" w:rsidR="00B27F75" w:rsidRDefault="00B27F75" w:rsidP="003317AE">
      <w:pPr>
        <w:pStyle w:val="FootnoteText"/>
      </w:pPr>
      <w:r>
        <w:rPr>
          <w:rStyle w:val="FootnoteReference"/>
        </w:rPr>
        <w:footnoteRef/>
      </w:r>
      <w:r>
        <w:t xml:space="preserve"> Porat and Goren (2002), page 467, column 1, last 3 lines.</w:t>
      </w:r>
    </w:p>
  </w:footnote>
  <w:footnote w:id="78">
    <w:p w14:paraId="6CD7D491" w14:textId="77777777" w:rsidR="00B27F75" w:rsidRDefault="00B27F75" w:rsidP="003317AE">
      <w:pPr>
        <w:pStyle w:val="FootnoteText"/>
      </w:pPr>
      <w:r>
        <w:rPr>
          <w:rStyle w:val="FootnoteReference"/>
        </w:rPr>
        <w:footnoteRef/>
      </w:r>
      <w:r>
        <w:t xml:space="preserve"> See Goren et al (2004), page 9, last 5 lines. </w:t>
      </w:r>
    </w:p>
  </w:footnote>
  <w:footnote w:id="79">
    <w:p w14:paraId="2F02C121" w14:textId="77777777" w:rsidR="00B27F75" w:rsidRDefault="00B27F75" w:rsidP="003317AE">
      <w:pPr>
        <w:pStyle w:val="FootnoteText"/>
      </w:pPr>
      <w:r>
        <w:rPr>
          <w:rStyle w:val="FootnoteReference"/>
        </w:rPr>
        <w:footnoteRef/>
      </w:r>
      <w:r>
        <w:t xml:space="preserve"> Goren et al. (2004) pages 9 bottom and page 10 top. </w:t>
      </w:r>
    </w:p>
  </w:footnote>
  <w:footnote w:id="80">
    <w:p w14:paraId="17B7CB9C" w14:textId="77777777" w:rsidR="00B27F75" w:rsidRPr="003A75C4" w:rsidRDefault="00B27F75" w:rsidP="003317AE">
      <w:pPr>
        <w:pStyle w:val="FootnoteText"/>
      </w:pPr>
      <w:r>
        <w:rPr>
          <w:rStyle w:val="FootnoteReference"/>
        </w:rPr>
        <w:footnoteRef/>
      </w:r>
      <w:r w:rsidRPr="003A75C4">
        <w:t xml:space="preserve"> Goren (1995), page 291, lines 15-16.</w:t>
      </w:r>
    </w:p>
  </w:footnote>
  <w:footnote w:id="81">
    <w:p w14:paraId="010AD121" w14:textId="77777777" w:rsidR="00B27F75" w:rsidRPr="003A75C4" w:rsidRDefault="00B27F75" w:rsidP="003317AE">
      <w:pPr>
        <w:pStyle w:val="FootnoteText"/>
      </w:pPr>
      <w:r>
        <w:rPr>
          <w:rStyle w:val="FootnoteReference"/>
        </w:rPr>
        <w:footnoteRef/>
      </w:r>
      <w:r w:rsidRPr="003A75C4">
        <w:t xml:space="preserve"> </w:t>
      </w:r>
      <w:r w:rsidRPr="004D51B9">
        <w:rPr>
          <w:lang w:val="en-US"/>
        </w:rPr>
        <w:t>Goren et</w:t>
      </w:r>
      <w:r>
        <w:t xml:space="preserve"> </w:t>
      </w:r>
      <w:r w:rsidRPr="004D51B9">
        <w:rPr>
          <w:lang w:val="en-US"/>
        </w:rPr>
        <w:t>al. (2004) page 30</w:t>
      </w:r>
      <w:r w:rsidRPr="003A75C4">
        <w:t>, lines 33-34.</w:t>
      </w:r>
    </w:p>
  </w:footnote>
  <w:footnote w:id="82">
    <w:p w14:paraId="17058DF9" w14:textId="77777777" w:rsidR="00B27F75" w:rsidRPr="000D3B82" w:rsidRDefault="00B27F75" w:rsidP="003317AE">
      <w:pPr>
        <w:pStyle w:val="FootnoteText"/>
      </w:pPr>
      <w:r>
        <w:rPr>
          <w:rStyle w:val="FootnoteReference"/>
        </w:rPr>
        <w:footnoteRef/>
      </w:r>
      <w:r w:rsidRPr="003A75C4">
        <w:t xml:space="preserve"> Goren et</w:t>
      </w:r>
      <w:r>
        <w:t xml:space="preserve"> </w:t>
      </w:r>
      <w:r w:rsidRPr="003A75C4">
        <w:t xml:space="preserve">al. </w:t>
      </w:r>
      <w:r w:rsidRPr="000D3B82">
        <w:t>(2004) page 24, geologic interpretation of EA-1.</w:t>
      </w:r>
      <w:r w:rsidRPr="004D51B9">
        <w:rPr>
          <w:lang w:val="en-US"/>
        </w:rPr>
        <w:t xml:space="preserve"> </w:t>
      </w:r>
    </w:p>
  </w:footnote>
  <w:footnote w:id="83">
    <w:p w14:paraId="4B2438AA" w14:textId="77777777" w:rsidR="00B27F75" w:rsidRPr="003A75C4" w:rsidRDefault="00B27F75" w:rsidP="003317AE">
      <w:pPr>
        <w:pStyle w:val="FootnoteText"/>
      </w:pPr>
      <w:r>
        <w:rPr>
          <w:rStyle w:val="FootnoteReference"/>
        </w:rPr>
        <w:footnoteRef/>
      </w:r>
      <w:r w:rsidRPr="003A75C4">
        <w:t xml:space="preserve"> Goren et al. (2004), page 5-6. </w:t>
      </w:r>
    </w:p>
  </w:footnote>
  <w:footnote w:id="84">
    <w:p w14:paraId="479EA15E" w14:textId="77777777" w:rsidR="00B27F75" w:rsidRPr="004D51B9" w:rsidRDefault="00B27F75" w:rsidP="003317AE">
      <w:pPr>
        <w:pStyle w:val="FootnoteText"/>
        <w:rPr>
          <w:lang w:val="fr-CD"/>
        </w:rPr>
      </w:pPr>
      <w:r>
        <w:rPr>
          <w:rStyle w:val="FootnoteReference"/>
        </w:rPr>
        <w:footnoteRef/>
      </w:r>
      <w:r w:rsidRPr="004D51B9">
        <w:rPr>
          <w:lang w:val="fr-CD"/>
        </w:rPr>
        <w:t xml:space="preserve"> Goren et</w:t>
      </w:r>
      <w:r>
        <w:rPr>
          <w:lang w:val="fr-CD"/>
        </w:rPr>
        <w:t xml:space="preserve"> </w:t>
      </w:r>
      <w:r w:rsidRPr="004D51B9">
        <w:rPr>
          <w:lang w:val="fr-CD"/>
        </w:rPr>
        <w:t>al. (2004</w:t>
      </w:r>
      <w:r>
        <w:rPr>
          <w:lang w:val="fr-CD"/>
        </w:rPr>
        <w:t>)</w:t>
      </w:r>
      <w:r w:rsidRPr="004D51B9">
        <w:rPr>
          <w:lang w:val="fr-CD"/>
        </w:rPr>
        <w:t xml:space="preserve"> page 6, lines 33-34.</w:t>
      </w:r>
    </w:p>
  </w:footnote>
  <w:footnote w:id="85">
    <w:p w14:paraId="2BA17FF2" w14:textId="77777777" w:rsidR="00B27F75" w:rsidRDefault="00B27F75" w:rsidP="003317AE">
      <w:pPr>
        <w:pStyle w:val="FootnoteText"/>
      </w:pPr>
      <w:r>
        <w:rPr>
          <w:rStyle w:val="FootnoteReference"/>
        </w:rPr>
        <w:footnoteRef/>
      </w:r>
      <w:r>
        <w:t xml:space="preserve"> See the geologic time scale on Wikipedia: </w:t>
      </w:r>
      <w:hyperlink r:id="rId16" w:history="1">
        <w:r>
          <w:rPr>
            <w:rStyle w:val="Hyperlink"/>
          </w:rPr>
          <w:t>https://en.wikipedia.org/wiki/Geologic_time_scale</w:t>
        </w:r>
      </w:hyperlink>
      <w:r>
        <w:t>.</w:t>
      </w:r>
    </w:p>
  </w:footnote>
  <w:footnote w:id="86">
    <w:p w14:paraId="6DB636DC" w14:textId="77777777" w:rsidR="00B27F75" w:rsidRDefault="00B27F75" w:rsidP="003317AE">
      <w:pPr>
        <w:pStyle w:val="FootnoteText"/>
      </w:pPr>
      <w:r>
        <w:rPr>
          <w:rStyle w:val="FootnoteReference"/>
        </w:rPr>
        <w:footnoteRef/>
      </w:r>
      <w:r>
        <w:t xml:space="preserve"> </w:t>
      </w:r>
      <w:r w:rsidRPr="008826B2">
        <w:t xml:space="preserve">See page </w:t>
      </w:r>
      <w:r>
        <w:t>17</w:t>
      </w:r>
      <w:r w:rsidRPr="008826B2">
        <w:t xml:space="preserve">, line </w:t>
      </w:r>
      <w:r>
        <w:t>16</w:t>
      </w:r>
      <w:r w:rsidRPr="008826B2">
        <w:t xml:space="preserve"> of Goren et al. (2004)</w:t>
      </w:r>
      <w:r>
        <w:t>.</w:t>
      </w:r>
    </w:p>
  </w:footnote>
  <w:footnote w:id="87">
    <w:p w14:paraId="02638EDC" w14:textId="77777777" w:rsidR="00B27F75" w:rsidRDefault="00B27F75" w:rsidP="003317AE">
      <w:pPr>
        <w:pStyle w:val="FootnoteText"/>
      </w:pPr>
      <w:r>
        <w:rPr>
          <w:rStyle w:val="FootnoteReference"/>
        </w:rPr>
        <w:footnoteRef/>
      </w:r>
      <w:r>
        <w:t xml:space="preserve"> See page 38, col. 2, lines 13-14 in Goren (1996); Cohen-Weinberger and Goren (2004), p</w:t>
      </w:r>
      <w:r w:rsidRPr="00615DFC">
        <w:t xml:space="preserve">age 73, </w:t>
      </w:r>
      <w:r>
        <w:t>col.</w:t>
      </w:r>
      <w:r w:rsidRPr="00615DFC">
        <w:t xml:space="preserve"> 1, </w:t>
      </w:r>
      <w:r>
        <w:t>l</w:t>
      </w:r>
      <w:r w:rsidRPr="00615DFC">
        <w:t>ine 15</w:t>
      </w:r>
      <w:r>
        <w:t>.</w:t>
      </w:r>
    </w:p>
  </w:footnote>
  <w:footnote w:id="88">
    <w:p w14:paraId="406C47FE" w14:textId="77777777" w:rsidR="00B27F75" w:rsidRDefault="00B27F75" w:rsidP="003317AE">
      <w:pPr>
        <w:pStyle w:val="FootnoteText"/>
      </w:pPr>
      <w:r>
        <w:rPr>
          <w:rStyle w:val="FootnoteReference"/>
        </w:rPr>
        <w:footnoteRef/>
      </w:r>
      <w:r>
        <w:t xml:space="preserve"> Porat and Goren (2002), page 474, col. 2, line 20.</w:t>
      </w:r>
    </w:p>
  </w:footnote>
  <w:footnote w:id="89">
    <w:p w14:paraId="1512AC5A" w14:textId="77777777" w:rsidR="00B27F75" w:rsidRDefault="00B27F75" w:rsidP="003317AE">
      <w:pPr>
        <w:pStyle w:val="FootnoteText"/>
      </w:pPr>
      <w:r>
        <w:rPr>
          <w:rStyle w:val="FootnoteReference"/>
        </w:rPr>
        <w:footnoteRef/>
      </w:r>
      <w:r>
        <w:t xml:space="preserve"> </w:t>
      </w:r>
      <w:r w:rsidRPr="00140F6B">
        <w:t>Porat and Goren (2002), page 47</w:t>
      </w:r>
      <w:r>
        <w:t>1, col. 2, line 5</w:t>
      </w:r>
      <w:r w:rsidRPr="00140F6B">
        <w:t>.</w:t>
      </w:r>
    </w:p>
  </w:footnote>
  <w:footnote w:id="90">
    <w:p w14:paraId="086AB158" w14:textId="77777777" w:rsidR="00B27F75" w:rsidRDefault="00B27F75" w:rsidP="003317AE">
      <w:pPr>
        <w:pStyle w:val="FootnoteText"/>
      </w:pPr>
      <w:r>
        <w:rPr>
          <w:rStyle w:val="FootnoteReference"/>
        </w:rPr>
        <w:footnoteRef/>
      </w:r>
      <w:r>
        <w:t xml:space="preserve"> See page 47</w:t>
      </w:r>
      <w:r w:rsidRPr="00DE30AF">
        <w:t xml:space="preserve">, column </w:t>
      </w:r>
      <w:r>
        <w:t>1, line</w:t>
      </w:r>
      <w:r w:rsidRPr="00DE30AF">
        <w:t xml:space="preserve"> </w:t>
      </w:r>
      <w:r>
        <w:t>2</w:t>
      </w:r>
      <w:r w:rsidRPr="00DE30AF">
        <w:t xml:space="preserve"> in Goren (1996)</w:t>
      </w:r>
      <w:r>
        <w:t>.</w:t>
      </w:r>
    </w:p>
  </w:footnote>
  <w:footnote w:id="91">
    <w:p w14:paraId="00223CBD" w14:textId="77777777" w:rsidR="00B27F75" w:rsidRDefault="00B27F75" w:rsidP="003317AE">
      <w:pPr>
        <w:pStyle w:val="FootnoteText"/>
      </w:pPr>
      <w:r>
        <w:rPr>
          <w:rStyle w:val="FootnoteReference"/>
        </w:rPr>
        <w:footnoteRef/>
      </w:r>
      <w:r>
        <w:t xml:space="preserve"> See Cohen-Weinberger and Goren (2004), p</w:t>
      </w:r>
      <w:r w:rsidRPr="00615DFC">
        <w:t xml:space="preserve">age 73, </w:t>
      </w:r>
      <w:r>
        <w:t>col. 2</w:t>
      </w:r>
      <w:r w:rsidRPr="00615DFC">
        <w:t xml:space="preserve">, </w:t>
      </w:r>
      <w:r>
        <w:t>l</w:t>
      </w:r>
      <w:r w:rsidRPr="00615DFC">
        <w:t>ine 1</w:t>
      </w:r>
      <w:r>
        <w:t>9.</w:t>
      </w:r>
    </w:p>
  </w:footnote>
  <w:footnote w:id="92">
    <w:p w14:paraId="3C80C1E1" w14:textId="77777777" w:rsidR="00B27F75" w:rsidRDefault="00B27F75" w:rsidP="003317AE">
      <w:pPr>
        <w:pStyle w:val="FootnoteText"/>
      </w:pPr>
      <w:r>
        <w:rPr>
          <w:rStyle w:val="FootnoteReference"/>
        </w:rPr>
        <w:footnoteRef/>
      </w:r>
      <w:r>
        <w:t xml:space="preserve"> See Cohen-Weinberger and Goren (2004), p</w:t>
      </w:r>
      <w:r w:rsidRPr="00615DFC">
        <w:t xml:space="preserve">age 73, </w:t>
      </w:r>
      <w:r>
        <w:t>col. 2</w:t>
      </w:r>
      <w:r w:rsidRPr="00615DFC">
        <w:t xml:space="preserve">, </w:t>
      </w:r>
      <w:r>
        <w:t>line 21.</w:t>
      </w:r>
    </w:p>
  </w:footnote>
  <w:footnote w:id="93">
    <w:p w14:paraId="329A9674" w14:textId="77777777" w:rsidR="00B27F75" w:rsidRDefault="00B27F75" w:rsidP="003317AE">
      <w:pPr>
        <w:pStyle w:val="FootnoteText"/>
      </w:pPr>
      <w:r>
        <w:rPr>
          <w:rStyle w:val="FootnoteReference"/>
        </w:rPr>
        <w:footnoteRef/>
      </w:r>
      <w:r>
        <w:t xml:space="preserve"> </w:t>
      </w:r>
      <w:r w:rsidRPr="00143A2D">
        <w:t>See Cohen-Weinberger and Goren (2004), page 7</w:t>
      </w:r>
      <w:r>
        <w:t>6, col. 2, lines 46-50.</w:t>
      </w:r>
    </w:p>
  </w:footnote>
  <w:footnote w:id="94">
    <w:p w14:paraId="6F8AAD77" w14:textId="77777777" w:rsidR="00B27F75" w:rsidRDefault="00B27F75" w:rsidP="003317AE">
      <w:pPr>
        <w:pStyle w:val="FootnoteText"/>
      </w:pPr>
      <w:r>
        <w:rPr>
          <w:rStyle w:val="FootnoteReference"/>
        </w:rPr>
        <w:footnoteRef/>
      </w:r>
      <w:r>
        <w:t xml:space="preserve"> </w:t>
      </w:r>
      <w:r w:rsidRPr="009D24E3">
        <w:t>See Cohen-Weinberger and Goren (200</w:t>
      </w:r>
      <w:r>
        <w:t>4), page 76, col. 2, lines 21-22.</w:t>
      </w:r>
    </w:p>
  </w:footnote>
  <w:footnote w:id="95">
    <w:p w14:paraId="362D9974" w14:textId="4358902C" w:rsidR="00B27F75" w:rsidRDefault="00B27F75" w:rsidP="003317AE">
      <w:pPr>
        <w:pStyle w:val="FootnoteText"/>
      </w:pPr>
      <w:r>
        <w:rPr>
          <w:rStyle w:val="FootnoteReference"/>
        </w:rPr>
        <w:footnoteRef/>
      </w:r>
      <w:r>
        <w:t xml:space="preserve"> See Cohen et al. (2004) p. 62, line 3 and p. 109, line 34.</w:t>
      </w:r>
    </w:p>
  </w:footnote>
  <w:footnote w:id="96">
    <w:p w14:paraId="0E64CE49" w14:textId="77777777" w:rsidR="00B27F75" w:rsidRDefault="00B27F75" w:rsidP="003317AE">
      <w:pPr>
        <w:pStyle w:val="FootnoteText"/>
      </w:pPr>
      <w:r>
        <w:rPr>
          <w:rStyle w:val="FootnoteReference"/>
        </w:rPr>
        <w:footnoteRef/>
      </w:r>
      <w:r>
        <w:t xml:space="preserve"> See Goren et al. (2004) p. 61-62. </w:t>
      </w:r>
    </w:p>
  </w:footnote>
  <w:footnote w:id="97">
    <w:p w14:paraId="4C4A8383" w14:textId="77777777" w:rsidR="00B27F75" w:rsidRDefault="00B27F75" w:rsidP="003317AE">
      <w:pPr>
        <w:pStyle w:val="FootnoteText"/>
      </w:pPr>
      <w:r>
        <w:rPr>
          <w:rStyle w:val="FootnoteReference"/>
        </w:rPr>
        <w:footnoteRef/>
      </w:r>
      <w:r>
        <w:t xml:space="preserve"> </w:t>
      </w:r>
      <w:r w:rsidRPr="00BF040D">
        <w:t xml:space="preserve">See page </w:t>
      </w:r>
      <w:r>
        <w:t>4</w:t>
      </w:r>
      <w:r w:rsidRPr="00BF040D">
        <w:t>,</w:t>
      </w:r>
      <w:r>
        <w:t xml:space="preserve"> paragraph e under Clay Production Systems in</w:t>
      </w:r>
      <w:r w:rsidRPr="00BF040D">
        <w:t xml:space="preserve"> Goren et al. (2004)</w:t>
      </w:r>
      <w:r>
        <w:t xml:space="preserve"> .</w:t>
      </w:r>
    </w:p>
  </w:footnote>
  <w:footnote w:id="98">
    <w:p w14:paraId="61A40CE2" w14:textId="77777777" w:rsidR="00B27F75" w:rsidRDefault="00B27F75" w:rsidP="003317AE">
      <w:pPr>
        <w:pStyle w:val="FootnoteText"/>
      </w:pPr>
      <w:r>
        <w:rPr>
          <w:rStyle w:val="FootnoteReference"/>
        </w:rPr>
        <w:footnoteRef/>
      </w:r>
      <w:r>
        <w:t xml:space="preserve"> </w:t>
      </w:r>
      <w:r w:rsidRPr="006271A5">
        <w:t xml:space="preserve">See page 4, lines </w:t>
      </w:r>
      <w:r>
        <w:t>17-18</w:t>
      </w:r>
      <w:r w:rsidRPr="006271A5">
        <w:t xml:space="preserve"> of Goren et al. (2004)</w:t>
      </w:r>
      <w:r>
        <w:t>.</w:t>
      </w:r>
    </w:p>
  </w:footnote>
  <w:footnote w:id="99">
    <w:p w14:paraId="6D8F2133" w14:textId="77777777" w:rsidR="00B27F75" w:rsidRDefault="00B27F75" w:rsidP="003317AE">
      <w:pPr>
        <w:pStyle w:val="FootnoteText"/>
      </w:pPr>
      <w:r>
        <w:rPr>
          <w:rStyle w:val="FootnoteReference"/>
        </w:rPr>
        <w:footnoteRef/>
      </w:r>
      <w:r>
        <w:t xml:space="preserve"> </w:t>
      </w:r>
      <w:r w:rsidRPr="00583321">
        <w:t xml:space="preserve">See page 4, lines </w:t>
      </w:r>
      <w:r>
        <w:t>16-17</w:t>
      </w:r>
      <w:r w:rsidRPr="00583321">
        <w:t xml:space="preserve"> of Goren et al. (2004)</w:t>
      </w:r>
      <w:r>
        <w:t>.</w:t>
      </w:r>
    </w:p>
  </w:footnote>
  <w:footnote w:id="100">
    <w:p w14:paraId="26F99F55" w14:textId="77777777" w:rsidR="00B27F75" w:rsidRDefault="00B27F75" w:rsidP="003317AE">
      <w:pPr>
        <w:pStyle w:val="FootnoteText"/>
      </w:pPr>
      <w:r>
        <w:rPr>
          <w:rStyle w:val="FootnoteReference"/>
        </w:rPr>
        <w:footnoteRef/>
      </w:r>
      <w:r>
        <w:t xml:space="preserve"> </w:t>
      </w:r>
      <w:r w:rsidRPr="00DD3BD4">
        <w:t xml:space="preserve">See page </w:t>
      </w:r>
      <w:r>
        <w:t>4</w:t>
      </w:r>
      <w:r w:rsidRPr="00DD3BD4">
        <w:t xml:space="preserve">, lines </w:t>
      </w:r>
      <w:r>
        <w:t>21-23</w:t>
      </w:r>
      <w:r w:rsidRPr="00DD3BD4">
        <w:t xml:space="preserve"> of Goren et al. (2004)</w:t>
      </w:r>
      <w:r>
        <w:t>.</w:t>
      </w:r>
    </w:p>
  </w:footnote>
  <w:footnote w:id="101">
    <w:p w14:paraId="516258D1" w14:textId="77777777" w:rsidR="00B27F75" w:rsidRDefault="00B27F75" w:rsidP="003317AE">
      <w:pPr>
        <w:pStyle w:val="FootnoteText"/>
      </w:pPr>
      <w:r>
        <w:rPr>
          <w:rStyle w:val="FootnoteReference"/>
        </w:rPr>
        <w:footnoteRef/>
      </w:r>
      <w:r>
        <w:t xml:space="preserve"> Cohen-Weinberger and Goren (2004), page 79. Col. 2, lines 5-6.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D1E025" w14:textId="07FA4668" w:rsidR="00851A3E" w:rsidRDefault="00851A3E" w:rsidP="00851A3E">
    <w:pPr>
      <w:pStyle w:val="Header"/>
    </w:pPr>
    <w:r>
      <w:t>McGovern and Wnuk</w:t>
    </w:r>
    <w:r>
      <w:tab/>
    </w:r>
    <w:sdt>
      <w:sdtPr>
        <w:id w:val="-1974973084"/>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AE084B">
          <w:rPr>
            <w:noProof/>
          </w:rPr>
          <w:t>2</w:t>
        </w:r>
        <w:r>
          <w:rPr>
            <w:noProof/>
          </w:rPr>
          <w:fldChar w:fldCharType="end"/>
        </w:r>
      </w:sdtContent>
    </w:sdt>
  </w:p>
  <w:p w14:paraId="0B5FEBA3" w14:textId="77777777" w:rsidR="002D26EA" w:rsidRDefault="002D26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B477D"/>
    <w:multiLevelType w:val="hybridMultilevel"/>
    <w:tmpl w:val="71DEF66E"/>
    <w:lvl w:ilvl="0" w:tplc="6832D98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1B3521"/>
    <w:multiLevelType w:val="hybridMultilevel"/>
    <w:tmpl w:val="CDEEBD20"/>
    <w:lvl w:ilvl="0" w:tplc="6832D98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ED44F5"/>
    <w:multiLevelType w:val="hybridMultilevel"/>
    <w:tmpl w:val="393040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FD2293"/>
    <w:multiLevelType w:val="hybridMultilevel"/>
    <w:tmpl w:val="1DE4000A"/>
    <w:lvl w:ilvl="0" w:tplc="0964C070">
      <w:start w:val="2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0BE007D"/>
    <w:multiLevelType w:val="hybridMultilevel"/>
    <w:tmpl w:val="4C54A89E"/>
    <w:lvl w:ilvl="0" w:tplc="6832D98E">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2127792"/>
    <w:multiLevelType w:val="multilevel"/>
    <w:tmpl w:val="F3103B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0C14965"/>
    <w:multiLevelType w:val="hybridMultilevel"/>
    <w:tmpl w:val="1026F502"/>
    <w:lvl w:ilvl="0" w:tplc="6832D98E">
      <w:start w:val="1"/>
      <w:numFmt w:val="decimal"/>
      <w:lvlText w:val="(%1)"/>
      <w:lvlJc w:val="left"/>
      <w:pPr>
        <w:ind w:left="720" w:hanging="360"/>
      </w:pPr>
      <w:rPr>
        <w:rFonts w:hint="default"/>
      </w:rPr>
    </w:lvl>
    <w:lvl w:ilvl="1" w:tplc="04090017">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2652EFE"/>
    <w:multiLevelType w:val="hybridMultilevel"/>
    <w:tmpl w:val="A182A3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3082607"/>
    <w:multiLevelType w:val="hybridMultilevel"/>
    <w:tmpl w:val="0B4A7492"/>
    <w:lvl w:ilvl="0" w:tplc="6832D98E">
      <w:start w:val="1"/>
      <w:numFmt w:val="decimal"/>
      <w:lvlText w:val="(%1)"/>
      <w:lvlJc w:val="left"/>
      <w:pPr>
        <w:ind w:left="720" w:hanging="360"/>
      </w:pPr>
      <w:rPr>
        <w:rFonts w:hint="default"/>
      </w:rPr>
    </w:lvl>
    <w:lvl w:ilvl="1" w:tplc="0409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2603E3E"/>
    <w:multiLevelType w:val="hybridMultilevel"/>
    <w:tmpl w:val="0BD65EBA"/>
    <w:lvl w:ilvl="0" w:tplc="6832D98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46F4082"/>
    <w:multiLevelType w:val="hybridMultilevel"/>
    <w:tmpl w:val="CD70BC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8D57741"/>
    <w:multiLevelType w:val="hybridMultilevel"/>
    <w:tmpl w:val="8AE27D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81804F2"/>
    <w:multiLevelType w:val="multilevel"/>
    <w:tmpl w:val="AAAAF1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F356018"/>
    <w:multiLevelType w:val="hybridMultilevel"/>
    <w:tmpl w:val="960E0118"/>
    <w:lvl w:ilvl="0" w:tplc="6832D98E">
      <w:start w:val="1"/>
      <w:numFmt w:val="decimal"/>
      <w:lvlText w:val="(%1)"/>
      <w:lvlJc w:val="left"/>
      <w:pPr>
        <w:ind w:left="783" w:hanging="360"/>
      </w:pPr>
      <w:rPr>
        <w:rFonts w:hint="default"/>
      </w:rPr>
    </w:lvl>
    <w:lvl w:ilvl="1" w:tplc="04090019" w:tentative="1">
      <w:start w:val="1"/>
      <w:numFmt w:val="lowerLetter"/>
      <w:lvlText w:val="%2."/>
      <w:lvlJc w:val="left"/>
      <w:pPr>
        <w:ind w:left="1503" w:hanging="360"/>
      </w:pPr>
    </w:lvl>
    <w:lvl w:ilvl="2" w:tplc="0409001B" w:tentative="1">
      <w:start w:val="1"/>
      <w:numFmt w:val="lowerRoman"/>
      <w:lvlText w:val="%3."/>
      <w:lvlJc w:val="right"/>
      <w:pPr>
        <w:ind w:left="2223" w:hanging="180"/>
      </w:pPr>
    </w:lvl>
    <w:lvl w:ilvl="3" w:tplc="0409000F" w:tentative="1">
      <w:start w:val="1"/>
      <w:numFmt w:val="decimal"/>
      <w:lvlText w:val="%4."/>
      <w:lvlJc w:val="left"/>
      <w:pPr>
        <w:ind w:left="2943" w:hanging="360"/>
      </w:pPr>
    </w:lvl>
    <w:lvl w:ilvl="4" w:tplc="04090019" w:tentative="1">
      <w:start w:val="1"/>
      <w:numFmt w:val="lowerLetter"/>
      <w:lvlText w:val="%5."/>
      <w:lvlJc w:val="left"/>
      <w:pPr>
        <w:ind w:left="3663" w:hanging="360"/>
      </w:pPr>
    </w:lvl>
    <w:lvl w:ilvl="5" w:tplc="0409001B" w:tentative="1">
      <w:start w:val="1"/>
      <w:numFmt w:val="lowerRoman"/>
      <w:lvlText w:val="%6."/>
      <w:lvlJc w:val="right"/>
      <w:pPr>
        <w:ind w:left="4383" w:hanging="180"/>
      </w:pPr>
    </w:lvl>
    <w:lvl w:ilvl="6" w:tplc="0409000F" w:tentative="1">
      <w:start w:val="1"/>
      <w:numFmt w:val="decimal"/>
      <w:lvlText w:val="%7."/>
      <w:lvlJc w:val="left"/>
      <w:pPr>
        <w:ind w:left="5103" w:hanging="360"/>
      </w:pPr>
    </w:lvl>
    <w:lvl w:ilvl="7" w:tplc="04090019" w:tentative="1">
      <w:start w:val="1"/>
      <w:numFmt w:val="lowerLetter"/>
      <w:lvlText w:val="%8."/>
      <w:lvlJc w:val="left"/>
      <w:pPr>
        <w:ind w:left="5823" w:hanging="360"/>
      </w:pPr>
    </w:lvl>
    <w:lvl w:ilvl="8" w:tplc="0409001B" w:tentative="1">
      <w:start w:val="1"/>
      <w:numFmt w:val="lowerRoman"/>
      <w:lvlText w:val="%9."/>
      <w:lvlJc w:val="right"/>
      <w:pPr>
        <w:ind w:left="6543" w:hanging="180"/>
      </w:pPr>
    </w:lvl>
  </w:abstractNum>
  <w:abstractNum w:abstractNumId="14" w15:restartNumberingAfterBreak="0">
    <w:nsid w:val="5BC9653E"/>
    <w:multiLevelType w:val="hybridMultilevel"/>
    <w:tmpl w:val="B42C8D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FB14DFE"/>
    <w:multiLevelType w:val="hybridMultilevel"/>
    <w:tmpl w:val="78E0C2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A062E1A"/>
    <w:multiLevelType w:val="hybridMultilevel"/>
    <w:tmpl w:val="98B4C4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A112DB7"/>
    <w:multiLevelType w:val="hybridMultilevel"/>
    <w:tmpl w:val="2C5E95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
  </w:num>
  <w:num w:numId="3">
    <w:abstractNumId w:val="13"/>
  </w:num>
  <w:num w:numId="4">
    <w:abstractNumId w:val="0"/>
  </w:num>
  <w:num w:numId="5">
    <w:abstractNumId w:val="8"/>
  </w:num>
  <w:num w:numId="6">
    <w:abstractNumId w:val="6"/>
  </w:num>
  <w:num w:numId="7">
    <w:abstractNumId w:val="9"/>
  </w:num>
  <w:num w:numId="8">
    <w:abstractNumId w:val="17"/>
  </w:num>
  <w:num w:numId="9">
    <w:abstractNumId w:val="15"/>
  </w:num>
  <w:num w:numId="10">
    <w:abstractNumId w:val="10"/>
  </w:num>
  <w:num w:numId="11">
    <w:abstractNumId w:val="5"/>
  </w:num>
  <w:num w:numId="12">
    <w:abstractNumId w:val="7"/>
  </w:num>
  <w:num w:numId="13">
    <w:abstractNumId w:val="3"/>
  </w:num>
  <w:num w:numId="14">
    <w:abstractNumId w:val="16"/>
  </w:num>
  <w:num w:numId="15">
    <w:abstractNumId w:val="11"/>
  </w:num>
  <w:num w:numId="16">
    <w:abstractNumId w:val="2"/>
  </w:num>
  <w:num w:numId="17">
    <w:abstractNumId w:val="14"/>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25F6"/>
    <w:rsid w:val="00001898"/>
    <w:rsid w:val="00001C81"/>
    <w:rsid w:val="00002927"/>
    <w:rsid w:val="0000376D"/>
    <w:rsid w:val="00003A33"/>
    <w:rsid w:val="000068F5"/>
    <w:rsid w:val="00007E2F"/>
    <w:rsid w:val="000103E4"/>
    <w:rsid w:val="00011218"/>
    <w:rsid w:val="00011971"/>
    <w:rsid w:val="00011DCA"/>
    <w:rsid w:val="00012F72"/>
    <w:rsid w:val="000131D8"/>
    <w:rsid w:val="000132A5"/>
    <w:rsid w:val="00013E1D"/>
    <w:rsid w:val="0001459D"/>
    <w:rsid w:val="00015CA9"/>
    <w:rsid w:val="0002060E"/>
    <w:rsid w:val="000208F7"/>
    <w:rsid w:val="0002235B"/>
    <w:rsid w:val="00023E04"/>
    <w:rsid w:val="0002438E"/>
    <w:rsid w:val="00024A27"/>
    <w:rsid w:val="00026882"/>
    <w:rsid w:val="00027293"/>
    <w:rsid w:val="00027D83"/>
    <w:rsid w:val="00030BE6"/>
    <w:rsid w:val="000317EA"/>
    <w:rsid w:val="00033A7F"/>
    <w:rsid w:val="000341DC"/>
    <w:rsid w:val="000350A9"/>
    <w:rsid w:val="0003585E"/>
    <w:rsid w:val="00035DAF"/>
    <w:rsid w:val="00035E0B"/>
    <w:rsid w:val="00036D06"/>
    <w:rsid w:val="00037001"/>
    <w:rsid w:val="00041485"/>
    <w:rsid w:val="00043616"/>
    <w:rsid w:val="00045224"/>
    <w:rsid w:val="00047356"/>
    <w:rsid w:val="00050DB4"/>
    <w:rsid w:val="00050FD1"/>
    <w:rsid w:val="00051BC4"/>
    <w:rsid w:val="00054139"/>
    <w:rsid w:val="00054FCF"/>
    <w:rsid w:val="00057072"/>
    <w:rsid w:val="00060F30"/>
    <w:rsid w:val="000613C9"/>
    <w:rsid w:val="0006191E"/>
    <w:rsid w:val="000627B5"/>
    <w:rsid w:val="0006459A"/>
    <w:rsid w:val="00064BA9"/>
    <w:rsid w:val="0006507E"/>
    <w:rsid w:val="0006643C"/>
    <w:rsid w:val="000700BE"/>
    <w:rsid w:val="0007080C"/>
    <w:rsid w:val="00070865"/>
    <w:rsid w:val="00070895"/>
    <w:rsid w:val="000711CF"/>
    <w:rsid w:val="00071AAB"/>
    <w:rsid w:val="00072103"/>
    <w:rsid w:val="000725B3"/>
    <w:rsid w:val="00072E54"/>
    <w:rsid w:val="000758B3"/>
    <w:rsid w:val="0007641F"/>
    <w:rsid w:val="000806A9"/>
    <w:rsid w:val="0008087E"/>
    <w:rsid w:val="000827BB"/>
    <w:rsid w:val="00082AB5"/>
    <w:rsid w:val="00084DD3"/>
    <w:rsid w:val="0009124F"/>
    <w:rsid w:val="000913EF"/>
    <w:rsid w:val="00091F08"/>
    <w:rsid w:val="00093C2F"/>
    <w:rsid w:val="000946A1"/>
    <w:rsid w:val="000952CA"/>
    <w:rsid w:val="00097439"/>
    <w:rsid w:val="000A1878"/>
    <w:rsid w:val="000A2030"/>
    <w:rsid w:val="000A271C"/>
    <w:rsid w:val="000A291F"/>
    <w:rsid w:val="000A2E62"/>
    <w:rsid w:val="000A3343"/>
    <w:rsid w:val="000A3E40"/>
    <w:rsid w:val="000A5759"/>
    <w:rsid w:val="000B037A"/>
    <w:rsid w:val="000B04F0"/>
    <w:rsid w:val="000B0E4D"/>
    <w:rsid w:val="000B0F43"/>
    <w:rsid w:val="000B1214"/>
    <w:rsid w:val="000B179A"/>
    <w:rsid w:val="000B1B43"/>
    <w:rsid w:val="000B2690"/>
    <w:rsid w:val="000B2BA1"/>
    <w:rsid w:val="000B46C7"/>
    <w:rsid w:val="000B5630"/>
    <w:rsid w:val="000B5D3B"/>
    <w:rsid w:val="000C063D"/>
    <w:rsid w:val="000C17F5"/>
    <w:rsid w:val="000C2386"/>
    <w:rsid w:val="000C2A2F"/>
    <w:rsid w:val="000C3B57"/>
    <w:rsid w:val="000C4A12"/>
    <w:rsid w:val="000C512E"/>
    <w:rsid w:val="000C6227"/>
    <w:rsid w:val="000C686B"/>
    <w:rsid w:val="000D0825"/>
    <w:rsid w:val="000D3EB3"/>
    <w:rsid w:val="000D3F00"/>
    <w:rsid w:val="000D5D25"/>
    <w:rsid w:val="000E2FC1"/>
    <w:rsid w:val="000E3175"/>
    <w:rsid w:val="000F01CA"/>
    <w:rsid w:val="000F0B56"/>
    <w:rsid w:val="000F19BA"/>
    <w:rsid w:val="000F306C"/>
    <w:rsid w:val="000F52CD"/>
    <w:rsid w:val="000F6867"/>
    <w:rsid w:val="000F7709"/>
    <w:rsid w:val="0010090A"/>
    <w:rsid w:val="001014DA"/>
    <w:rsid w:val="0010202B"/>
    <w:rsid w:val="00102B7C"/>
    <w:rsid w:val="00105427"/>
    <w:rsid w:val="0010721D"/>
    <w:rsid w:val="001074E0"/>
    <w:rsid w:val="00107ADC"/>
    <w:rsid w:val="00113319"/>
    <w:rsid w:val="00115334"/>
    <w:rsid w:val="00115BB6"/>
    <w:rsid w:val="0011649F"/>
    <w:rsid w:val="001208FC"/>
    <w:rsid w:val="00121BE3"/>
    <w:rsid w:val="00123052"/>
    <w:rsid w:val="00125464"/>
    <w:rsid w:val="00130FA7"/>
    <w:rsid w:val="00131C3A"/>
    <w:rsid w:val="00131F52"/>
    <w:rsid w:val="00132523"/>
    <w:rsid w:val="00133641"/>
    <w:rsid w:val="001347B0"/>
    <w:rsid w:val="001347F6"/>
    <w:rsid w:val="001407B3"/>
    <w:rsid w:val="0014214A"/>
    <w:rsid w:val="00143B07"/>
    <w:rsid w:val="00144BA8"/>
    <w:rsid w:val="00144DBF"/>
    <w:rsid w:val="0014758C"/>
    <w:rsid w:val="00147AE4"/>
    <w:rsid w:val="0015129C"/>
    <w:rsid w:val="001524C8"/>
    <w:rsid w:val="0015320B"/>
    <w:rsid w:val="00153F1D"/>
    <w:rsid w:val="001541BC"/>
    <w:rsid w:val="00155577"/>
    <w:rsid w:val="00155A26"/>
    <w:rsid w:val="001611DD"/>
    <w:rsid w:val="00162B8B"/>
    <w:rsid w:val="00164078"/>
    <w:rsid w:val="00165D8D"/>
    <w:rsid w:val="00166A23"/>
    <w:rsid w:val="00167B9D"/>
    <w:rsid w:val="00170B5D"/>
    <w:rsid w:val="0017148B"/>
    <w:rsid w:val="00171B2B"/>
    <w:rsid w:val="00172AE6"/>
    <w:rsid w:val="00175DE0"/>
    <w:rsid w:val="00176A43"/>
    <w:rsid w:val="00176AD4"/>
    <w:rsid w:val="00181AC1"/>
    <w:rsid w:val="00184B53"/>
    <w:rsid w:val="00185736"/>
    <w:rsid w:val="00193A33"/>
    <w:rsid w:val="001951EC"/>
    <w:rsid w:val="0019647B"/>
    <w:rsid w:val="001A0410"/>
    <w:rsid w:val="001A046B"/>
    <w:rsid w:val="001A0485"/>
    <w:rsid w:val="001A0C70"/>
    <w:rsid w:val="001A0ED8"/>
    <w:rsid w:val="001A205B"/>
    <w:rsid w:val="001A2759"/>
    <w:rsid w:val="001A312F"/>
    <w:rsid w:val="001A70FE"/>
    <w:rsid w:val="001B07DE"/>
    <w:rsid w:val="001B17F7"/>
    <w:rsid w:val="001B22A1"/>
    <w:rsid w:val="001B3B6F"/>
    <w:rsid w:val="001B3D65"/>
    <w:rsid w:val="001B5353"/>
    <w:rsid w:val="001C00ED"/>
    <w:rsid w:val="001C06E9"/>
    <w:rsid w:val="001C099D"/>
    <w:rsid w:val="001C1DA5"/>
    <w:rsid w:val="001C1E73"/>
    <w:rsid w:val="001C29D4"/>
    <w:rsid w:val="001C3E34"/>
    <w:rsid w:val="001C46FC"/>
    <w:rsid w:val="001C47C2"/>
    <w:rsid w:val="001C4DC2"/>
    <w:rsid w:val="001C4FAB"/>
    <w:rsid w:val="001C54E7"/>
    <w:rsid w:val="001C7AF0"/>
    <w:rsid w:val="001D0C88"/>
    <w:rsid w:val="001D1251"/>
    <w:rsid w:val="001D33B7"/>
    <w:rsid w:val="001D419F"/>
    <w:rsid w:val="001D510D"/>
    <w:rsid w:val="001D6C65"/>
    <w:rsid w:val="001E29DE"/>
    <w:rsid w:val="001E3BD9"/>
    <w:rsid w:val="001E567D"/>
    <w:rsid w:val="001E61E8"/>
    <w:rsid w:val="001E63F5"/>
    <w:rsid w:val="001E7CD7"/>
    <w:rsid w:val="001F01C2"/>
    <w:rsid w:val="001F0B52"/>
    <w:rsid w:val="001F17DA"/>
    <w:rsid w:val="001F1E4C"/>
    <w:rsid w:val="001F56CD"/>
    <w:rsid w:val="00200936"/>
    <w:rsid w:val="00200B16"/>
    <w:rsid w:val="0020121E"/>
    <w:rsid w:val="00201C47"/>
    <w:rsid w:val="002038E8"/>
    <w:rsid w:val="0020408C"/>
    <w:rsid w:val="00205A18"/>
    <w:rsid w:val="002068D5"/>
    <w:rsid w:val="002075A4"/>
    <w:rsid w:val="00207A7D"/>
    <w:rsid w:val="00211783"/>
    <w:rsid w:val="00215935"/>
    <w:rsid w:val="00215B98"/>
    <w:rsid w:val="002160AB"/>
    <w:rsid w:val="002165C1"/>
    <w:rsid w:val="00216604"/>
    <w:rsid w:val="00220055"/>
    <w:rsid w:val="002207DC"/>
    <w:rsid w:val="0022111D"/>
    <w:rsid w:val="002215EB"/>
    <w:rsid w:val="00221C26"/>
    <w:rsid w:val="00221E6C"/>
    <w:rsid w:val="002236D6"/>
    <w:rsid w:val="00224282"/>
    <w:rsid w:val="00224A8C"/>
    <w:rsid w:val="00224F47"/>
    <w:rsid w:val="00225700"/>
    <w:rsid w:val="00225D71"/>
    <w:rsid w:val="00226F74"/>
    <w:rsid w:val="00227AE8"/>
    <w:rsid w:val="00231532"/>
    <w:rsid w:val="002323DA"/>
    <w:rsid w:val="00232724"/>
    <w:rsid w:val="00234597"/>
    <w:rsid w:val="00234F6E"/>
    <w:rsid w:val="002353AE"/>
    <w:rsid w:val="00236DC1"/>
    <w:rsid w:val="00240493"/>
    <w:rsid w:val="0024082F"/>
    <w:rsid w:val="00240B9E"/>
    <w:rsid w:val="0024219E"/>
    <w:rsid w:val="00242317"/>
    <w:rsid w:val="00242D85"/>
    <w:rsid w:val="00242F35"/>
    <w:rsid w:val="00243EFD"/>
    <w:rsid w:val="00247419"/>
    <w:rsid w:val="00250E94"/>
    <w:rsid w:val="00250F5D"/>
    <w:rsid w:val="00251B76"/>
    <w:rsid w:val="002529FD"/>
    <w:rsid w:val="00252ACD"/>
    <w:rsid w:val="00252ED2"/>
    <w:rsid w:val="00253C22"/>
    <w:rsid w:val="00255AFE"/>
    <w:rsid w:val="002568F6"/>
    <w:rsid w:val="00256AC2"/>
    <w:rsid w:val="00256D17"/>
    <w:rsid w:val="00257268"/>
    <w:rsid w:val="00257835"/>
    <w:rsid w:val="002615D2"/>
    <w:rsid w:val="00262292"/>
    <w:rsid w:val="0026536D"/>
    <w:rsid w:val="0026589F"/>
    <w:rsid w:val="00265D69"/>
    <w:rsid w:val="00266016"/>
    <w:rsid w:val="00271710"/>
    <w:rsid w:val="00271A53"/>
    <w:rsid w:val="0027284F"/>
    <w:rsid w:val="00273F4D"/>
    <w:rsid w:val="0027412A"/>
    <w:rsid w:val="00274229"/>
    <w:rsid w:val="002750B7"/>
    <w:rsid w:val="002766B6"/>
    <w:rsid w:val="002771DC"/>
    <w:rsid w:val="00277850"/>
    <w:rsid w:val="00280142"/>
    <w:rsid w:val="002837A1"/>
    <w:rsid w:val="00285411"/>
    <w:rsid w:val="00285616"/>
    <w:rsid w:val="00287A19"/>
    <w:rsid w:val="00287EB3"/>
    <w:rsid w:val="00290922"/>
    <w:rsid w:val="00293603"/>
    <w:rsid w:val="00295B75"/>
    <w:rsid w:val="00296281"/>
    <w:rsid w:val="002966A6"/>
    <w:rsid w:val="002973AD"/>
    <w:rsid w:val="002A0903"/>
    <w:rsid w:val="002A0FAD"/>
    <w:rsid w:val="002A1835"/>
    <w:rsid w:val="002A189D"/>
    <w:rsid w:val="002A2E71"/>
    <w:rsid w:val="002A331F"/>
    <w:rsid w:val="002A34C6"/>
    <w:rsid w:val="002A4E5B"/>
    <w:rsid w:val="002A5BAB"/>
    <w:rsid w:val="002A7EE8"/>
    <w:rsid w:val="002B07D2"/>
    <w:rsid w:val="002B0CC6"/>
    <w:rsid w:val="002B27F7"/>
    <w:rsid w:val="002B4F21"/>
    <w:rsid w:val="002B5DDC"/>
    <w:rsid w:val="002B756E"/>
    <w:rsid w:val="002C15DD"/>
    <w:rsid w:val="002C23C8"/>
    <w:rsid w:val="002C3156"/>
    <w:rsid w:val="002C341C"/>
    <w:rsid w:val="002C347C"/>
    <w:rsid w:val="002C3D34"/>
    <w:rsid w:val="002C3E38"/>
    <w:rsid w:val="002C5D18"/>
    <w:rsid w:val="002C6238"/>
    <w:rsid w:val="002C65DD"/>
    <w:rsid w:val="002D0FA7"/>
    <w:rsid w:val="002D26EA"/>
    <w:rsid w:val="002D4043"/>
    <w:rsid w:val="002D429E"/>
    <w:rsid w:val="002D7919"/>
    <w:rsid w:val="002D7BF2"/>
    <w:rsid w:val="002E1E0E"/>
    <w:rsid w:val="002E24A0"/>
    <w:rsid w:val="002E2E43"/>
    <w:rsid w:val="002E4E34"/>
    <w:rsid w:val="002E531E"/>
    <w:rsid w:val="002E5404"/>
    <w:rsid w:val="002E5BB1"/>
    <w:rsid w:val="002E6900"/>
    <w:rsid w:val="002E7DC4"/>
    <w:rsid w:val="002F088E"/>
    <w:rsid w:val="002F0B02"/>
    <w:rsid w:val="002F11E2"/>
    <w:rsid w:val="002F1980"/>
    <w:rsid w:val="002F2A28"/>
    <w:rsid w:val="002F2AF9"/>
    <w:rsid w:val="002F365A"/>
    <w:rsid w:val="002F47C1"/>
    <w:rsid w:val="002F5BAD"/>
    <w:rsid w:val="002F5D50"/>
    <w:rsid w:val="002F5E81"/>
    <w:rsid w:val="00301944"/>
    <w:rsid w:val="00303B64"/>
    <w:rsid w:val="00303CB7"/>
    <w:rsid w:val="00303E6C"/>
    <w:rsid w:val="003044C0"/>
    <w:rsid w:val="00304D9F"/>
    <w:rsid w:val="003054B3"/>
    <w:rsid w:val="003106F5"/>
    <w:rsid w:val="00310835"/>
    <w:rsid w:val="0031091D"/>
    <w:rsid w:val="003126D7"/>
    <w:rsid w:val="0031322F"/>
    <w:rsid w:val="00313F46"/>
    <w:rsid w:val="00314A4B"/>
    <w:rsid w:val="00315DEA"/>
    <w:rsid w:val="00316FF2"/>
    <w:rsid w:val="0031716B"/>
    <w:rsid w:val="00317703"/>
    <w:rsid w:val="00317F6A"/>
    <w:rsid w:val="00320CA6"/>
    <w:rsid w:val="00325471"/>
    <w:rsid w:val="00325E25"/>
    <w:rsid w:val="00326536"/>
    <w:rsid w:val="00327634"/>
    <w:rsid w:val="00330EBF"/>
    <w:rsid w:val="003317AE"/>
    <w:rsid w:val="00333434"/>
    <w:rsid w:val="00333691"/>
    <w:rsid w:val="00333A6B"/>
    <w:rsid w:val="003345BF"/>
    <w:rsid w:val="00335CF6"/>
    <w:rsid w:val="00335F4F"/>
    <w:rsid w:val="003363AC"/>
    <w:rsid w:val="003367DE"/>
    <w:rsid w:val="00343866"/>
    <w:rsid w:val="00343F1E"/>
    <w:rsid w:val="0034429A"/>
    <w:rsid w:val="003444CF"/>
    <w:rsid w:val="00345B3D"/>
    <w:rsid w:val="00347381"/>
    <w:rsid w:val="00353EA9"/>
    <w:rsid w:val="00355F6C"/>
    <w:rsid w:val="00356686"/>
    <w:rsid w:val="00356C82"/>
    <w:rsid w:val="003570C0"/>
    <w:rsid w:val="00360D8C"/>
    <w:rsid w:val="00361C25"/>
    <w:rsid w:val="00362BC2"/>
    <w:rsid w:val="00363AF1"/>
    <w:rsid w:val="00363D7B"/>
    <w:rsid w:val="00364F61"/>
    <w:rsid w:val="00365B50"/>
    <w:rsid w:val="00366F2C"/>
    <w:rsid w:val="0036712C"/>
    <w:rsid w:val="00367781"/>
    <w:rsid w:val="00367A4F"/>
    <w:rsid w:val="0037266B"/>
    <w:rsid w:val="0037646F"/>
    <w:rsid w:val="00383BFC"/>
    <w:rsid w:val="00383CB0"/>
    <w:rsid w:val="003847EA"/>
    <w:rsid w:val="00386535"/>
    <w:rsid w:val="0038669B"/>
    <w:rsid w:val="00386A65"/>
    <w:rsid w:val="00390132"/>
    <w:rsid w:val="00392422"/>
    <w:rsid w:val="00393AF2"/>
    <w:rsid w:val="00393F84"/>
    <w:rsid w:val="003946AE"/>
    <w:rsid w:val="00394791"/>
    <w:rsid w:val="0039512A"/>
    <w:rsid w:val="00395A77"/>
    <w:rsid w:val="003A091B"/>
    <w:rsid w:val="003A1698"/>
    <w:rsid w:val="003A16B4"/>
    <w:rsid w:val="003A19F4"/>
    <w:rsid w:val="003A3303"/>
    <w:rsid w:val="003A355D"/>
    <w:rsid w:val="003A40A9"/>
    <w:rsid w:val="003A4138"/>
    <w:rsid w:val="003A60CC"/>
    <w:rsid w:val="003A635E"/>
    <w:rsid w:val="003A6DF5"/>
    <w:rsid w:val="003A70CB"/>
    <w:rsid w:val="003B2018"/>
    <w:rsid w:val="003B3138"/>
    <w:rsid w:val="003B4CD5"/>
    <w:rsid w:val="003B697A"/>
    <w:rsid w:val="003C0D3D"/>
    <w:rsid w:val="003C24BF"/>
    <w:rsid w:val="003C2C5E"/>
    <w:rsid w:val="003C3269"/>
    <w:rsid w:val="003C345F"/>
    <w:rsid w:val="003C54AE"/>
    <w:rsid w:val="003C7B91"/>
    <w:rsid w:val="003D261A"/>
    <w:rsid w:val="003D2A46"/>
    <w:rsid w:val="003D2E78"/>
    <w:rsid w:val="003D3CCC"/>
    <w:rsid w:val="003D6D31"/>
    <w:rsid w:val="003D75D4"/>
    <w:rsid w:val="003E0001"/>
    <w:rsid w:val="003E00A1"/>
    <w:rsid w:val="003E0776"/>
    <w:rsid w:val="003E0EA3"/>
    <w:rsid w:val="003E1036"/>
    <w:rsid w:val="003E12E4"/>
    <w:rsid w:val="003E1A8A"/>
    <w:rsid w:val="003E2EB7"/>
    <w:rsid w:val="003E381A"/>
    <w:rsid w:val="003E4361"/>
    <w:rsid w:val="003E55DE"/>
    <w:rsid w:val="003E5656"/>
    <w:rsid w:val="003E6715"/>
    <w:rsid w:val="003E6D10"/>
    <w:rsid w:val="003E7C11"/>
    <w:rsid w:val="003F30C4"/>
    <w:rsid w:val="003F37D7"/>
    <w:rsid w:val="003F4525"/>
    <w:rsid w:val="003F7D74"/>
    <w:rsid w:val="003F7FC5"/>
    <w:rsid w:val="00403018"/>
    <w:rsid w:val="004030D4"/>
    <w:rsid w:val="0040327D"/>
    <w:rsid w:val="00403EDF"/>
    <w:rsid w:val="00404AFC"/>
    <w:rsid w:val="0040574A"/>
    <w:rsid w:val="00405752"/>
    <w:rsid w:val="00405B39"/>
    <w:rsid w:val="004064D1"/>
    <w:rsid w:val="004068A3"/>
    <w:rsid w:val="00410ED5"/>
    <w:rsid w:val="0041321A"/>
    <w:rsid w:val="00415634"/>
    <w:rsid w:val="004170A5"/>
    <w:rsid w:val="00420BD1"/>
    <w:rsid w:val="00420C65"/>
    <w:rsid w:val="004225D6"/>
    <w:rsid w:val="0042302B"/>
    <w:rsid w:val="00425E23"/>
    <w:rsid w:val="00426722"/>
    <w:rsid w:val="00426CC0"/>
    <w:rsid w:val="00427E3E"/>
    <w:rsid w:val="0043000F"/>
    <w:rsid w:val="00430491"/>
    <w:rsid w:val="00431730"/>
    <w:rsid w:val="004328B5"/>
    <w:rsid w:val="004349ED"/>
    <w:rsid w:val="0043614B"/>
    <w:rsid w:val="00437420"/>
    <w:rsid w:val="00437667"/>
    <w:rsid w:val="00437689"/>
    <w:rsid w:val="00437B52"/>
    <w:rsid w:val="00437D12"/>
    <w:rsid w:val="00440417"/>
    <w:rsid w:val="00442093"/>
    <w:rsid w:val="004433D9"/>
    <w:rsid w:val="00450424"/>
    <w:rsid w:val="00450EEF"/>
    <w:rsid w:val="00451C87"/>
    <w:rsid w:val="00452080"/>
    <w:rsid w:val="0045275B"/>
    <w:rsid w:val="00453144"/>
    <w:rsid w:val="00454C91"/>
    <w:rsid w:val="00454E5C"/>
    <w:rsid w:val="0046045C"/>
    <w:rsid w:val="004612AB"/>
    <w:rsid w:val="00463067"/>
    <w:rsid w:val="004633ED"/>
    <w:rsid w:val="00463521"/>
    <w:rsid w:val="0046795F"/>
    <w:rsid w:val="00470E4F"/>
    <w:rsid w:val="00471AFA"/>
    <w:rsid w:val="004727A5"/>
    <w:rsid w:val="00475EAA"/>
    <w:rsid w:val="00480920"/>
    <w:rsid w:val="004812BD"/>
    <w:rsid w:val="00481B1F"/>
    <w:rsid w:val="00484BB2"/>
    <w:rsid w:val="0048649E"/>
    <w:rsid w:val="00487963"/>
    <w:rsid w:val="00490698"/>
    <w:rsid w:val="00494CCD"/>
    <w:rsid w:val="0049530C"/>
    <w:rsid w:val="004956B1"/>
    <w:rsid w:val="004957C8"/>
    <w:rsid w:val="004971C5"/>
    <w:rsid w:val="004A0952"/>
    <w:rsid w:val="004A1D74"/>
    <w:rsid w:val="004A20A1"/>
    <w:rsid w:val="004A2A15"/>
    <w:rsid w:val="004A3980"/>
    <w:rsid w:val="004A3BC7"/>
    <w:rsid w:val="004A5026"/>
    <w:rsid w:val="004A5985"/>
    <w:rsid w:val="004A6CDA"/>
    <w:rsid w:val="004A7136"/>
    <w:rsid w:val="004B03A4"/>
    <w:rsid w:val="004B235C"/>
    <w:rsid w:val="004B2DAC"/>
    <w:rsid w:val="004B7C36"/>
    <w:rsid w:val="004C01CC"/>
    <w:rsid w:val="004C2780"/>
    <w:rsid w:val="004C2B27"/>
    <w:rsid w:val="004C3125"/>
    <w:rsid w:val="004C33C6"/>
    <w:rsid w:val="004C3422"/>
    <w:rsid w:val="004C5090"/>
    <w:rsid w:val="004C5585"/>
    <w:rsid w:val="004C799D"/>
    <w:rsid w:val="004C7CF5"/>
    <w:rsid w:val="004D0091"/>
    <w:rsid w:val="004D155D"/>
    <w:rsid w:val="004D18B7"/>
    <w:rsid w:val="004D194E"/>
    <w:rsid w:val="004D223C"/>
    <w:rsid w:val="004D3DAD"/>
    <w:rsid w:val="004D536F"/>
    <w:rsid w:val="004D5837"/>
    <w:rsid w:val="004D5A25"/>
    <w:rsid w:val="004D5CA9"/>
    <w:rsid w:val="004D5E00"/>
    <w:rsid w:val="004D73F4"/>
    <w:rsid w:val="004E041A"/>
    <w:rsid w:val="004E0E6F"/>
    <w:rsid w:val="004E11AC"/>
    <w:rsid w:val="004E333C"/>
    <w:rsid w:val="004E364C"/>
    <w:rsid w:val="004E5D20"/>
    <w:rsid w:val="004E7B6C"/>
    <w:rsid w:val="004E7F19"/>
    <w:rsid w:val="004F0C58"/>
    <w:rsid w:val="004F1693"/>
    <w:rsid w:val="004F266F"/>
    <w:rsid w:val="004F3C76"/>
    <w:rsid w:val="004F4CD9"/>
    <w:rsid w:val="004F5CDA"/>
    <w:rsid w:val="004F5D27"/>
    <w:rsid w:val="004F6604"/>
    <w:rsid w:val="004F7DA2"/>
    <w:rsid w:val="00501FD0"/>
    <w:rsid w:val="00505B00"/>
    <w:rsid w:val="005060F4"/>
    <w:rsid w:val="00507113"/>
    <w:rsid w:val="00507E75"/>
    <w:rsid w:val="00510863"/>
    <w:rsid w:val="00511362"/>
    <w:rsid w:val="00512319"/>
    <w:rsid w:val="005125F6"/>
    <w:rsid w:val="00512E50"/>
    <w:rsid w:val="0051585F"/>
    <w:rsid w:val="00515E39"/>
    <w:rsid w:val="00516D8D"/>
    <w:rsid w:val="005224E7"/>
    <w:rsid w:val="00522A42"/>
    <w:rsid w:val="005235CC"/>
    <w:rsid w:val="0052418B"/>
    <w:rsid w:val="0052553D"/>
    <w:rsid w:val="005256CF"/>
    <w:rsid w:val="00526FB0"/>
    <w:rsid w:val="005323ED"/>
    <w:rsid w:val="0053370E"/>
    <w:rsid w:val="00534692"/>
    <w:rsid w:val="005355B1"/>
    <w:rsid w:val="00535A9E"/>
    <w:rsid w:val="00535D7B"/>
    <w:rsid w:val="00537571"/>
    <w:rsid w:val="005375BA"/>
    <w:rsid w:val="005417C7"/>
    <w:rsid w:val="0055059C"/>
    <w:rsid w:val="00550EBE"/>
    <w:rsid w:val="005511B2"/>
    <w:rsid w:val="00552292"/>
    <w:rsid w:val="005542C2"/>
    <w:rsid w:val="005603B2"/>
    <w:rsid w:val="00562A11"/>
    <w:rsid w:val="00563219"/>
    <w:rsid w:val="00563DF3"/>
    <w:rsid w:val="00564816"/>
    <w:rsid w:val="005654A4"/>
    <w:rsid w:val="00566CF9"/>
    <w:rsid w:val="0056754C"/>
    <w:rsid w:val="00571EBE"/>
    <w:rsid w:val="0057258C"/>
    <w:rsid w:val="00573263"/>
    <w:rsid w:val="00573983"/>
    <w:rsid w:val="00574A9E"/>
    <w:rsid w:val="00580702"/>
    <w:rsid w:val="00581D43"/>
    <w:rsid w:val="00582B62"/>
    <w:rsid w:val="0058449E"/>
    <w:rsid w:val="005870B4"/>
    <w:rsid w:val="005875D9"/>
    <w:rsid w:val="00590BF2"/>
    <w:rsid w:val="005911C1"/>
    <w:rsid w:val="005912A7"/>
    <w:rsid w:val="00591622"/>
    <w:rsid w:val="00591C0A"/>
    <w:rsid w:val="00592013"/>
    <w:rsid w:val="005928A4"/>
    <w:rsid w:val="0059317C"/>
    <w:rsid w:val="00593A23"/>
    <w:rsid w:val="00594394"/>
    <w:rsid w:val="00595AAB"/>
    <w:rsid w:val="005964FD"/>
    <w:rsid w:val="005977FA"/>
    <w:rsid w:val="005A0A34"/>
    <w:rsid w:val="005A1D78"/>
    <w:rsid w:val="005A33A3"/>
    <w:rsid w:val="005A3DA9"/>
    <w:rsid w:val="005A4659"/>
    <w:rsid w:val="005A4AAB"/>
    <w:rsid w:val="005A4DC3"/>
    <w:rsid w:val="005B124F"/>
    <w:rsid w:val="005B3C72"/>
    <w:rsid w:val="005B3CF7"/>
    <w:rsid w:val="005B48DE"/>
    <w:rsid w:val="005B5354"/>
    <w:rsid w:val="005B63BF"/>
    <w:rsid w:val="005B6C5F"/>
    <w:rsid w:val="005B73B3"/>
    <w:rsid w:val="005C094C"/>
    <w:rsid w:val="005C131A"/>
    <w:rsid w:val="005C1715"/>
    <w:rsid w:val="005C1A4D"/>
    <w:rsid w:val="005C25FF"/>
    <w:rsid w:val="005C27C0"/>
    <w:rsid w:val="005C435F"/>
    <w:rsid w:val="005C63B9"/>
    <w:rsid w:val="005D2726"/>
    <w:rsid w:val="005D3314"/>
    <w:rsid w:val="005D4163"/>
    <w:rsid w:val="005D42A3"/>
    <w:rsid w:val="005D52E7"/>
    <w:rsid w:val="005D5AF9"/>
    <w:rsid w:val="005D7354"/>
    <w:rsid w:val="005D7FD8"/>
    <w:rsid w:val="005E1089"/>
    <w:rsid w:val="005E1A0D"/>
    <w:rsid w:val="005E279D"/>
    <w:rsid w:val="005E2AAF"/>
    <w:rsid w:val="005E2C04"/>
    <w:rsid w:val="005E4052"/>
    <w:rsid w:val="005E61DB"/>
    <w:rsid w:val="005F0EAE"/>
    <w:rsid w:val="005F2987"/>
    <w:rsid w:val="005F2AF7"/>
    <w:rsid w:val="005F3F85"/>
    <w:rsid w:val="005F438C"/>
    <w:rsid w:val="005F5CA9"/>
    <w:rsid w:val="0060030C"/>
    <w:rsid w:val="0060036F"/>
    <w:rsid w:val="00601435"/>
    <w:rsid w:val="006033B6"/>
    <w:rsid w:val="006049C8"/>
    <w:rsid w:val="00604D4B"/>
    <w:rsid w:val="00606302"/>
    <w:rsid w:val="006067C7"/>
    <w:rsid w:val="00607EF4"/>
    <w:rsid w:val="006105CF"/>
    <w:rsid w:val="00610D0E"/>
    <w:rsid w:val="00611D53"/>
    <w:rsid w:val="00612A8A"/>
    <w:rsid w:val="00613294"/>
    <w:rsid w:val="00613A92"/>
    <w:rsid w:val="00613B84"/>
    <w:rsid w:val="00617783"/>
    <w:rsid w:val="006179D0"/>
    <w:rsid w:val="006216A7"/>
    <w:rsid w:val="00623FC7"/>
    <w:rsid w:val="00624DCC"/>
    <w:rsid w:val="0062644F"/>
    <w:rsid w:val="006279D5"/>
    <w:rsid w:val="0063102E"/>
    <w:rsid w:val="00632354"/>
    <w:rsid w:val="006347E2"/>
    <w:rsid w:val="0063654B"/>
    <w:rsid w:val="006376FD"/>
    <w:rsid w:val="00637F48"/>
    <w:rsid w:val="00637FA8"/>
    <w:rsid w:val="00642BC4"/>
    <w:rsid w:val="00643338"/>
    <w:rsid w:val="00643EAE"/>
    <w:rsid w:val="006441B7"/>
    <w:rsid w:val="00645585"/>
    <w:rsid w:val="00646AEC"/>
    <w:rsid w:val="00650C60"/>
    <w:rsid w:val="00650E79"/>
    <w:rsid w:val="0065274A"/>
    <w:rsid w:val="006527F5"/>
    <w:rsid w:val="00653BEF"/>
    <w:rsid w:val="00654446"/>
    <w:rsid w:val="00654A11"/>
    <w:rsid w:val="00654BAE"/>
    <w:rsid w:val="00655E97"/>
    <w:rsid w:val="006566F9"/>
    <w:rsid w:val="006604AC"/>
    <w:rsid w:val="0066125C"/>
    <w:rsid w:val="0066131F"/>
    <w:rsid w:val="00661D82"/>
    <w:rsid w:val="006629F3"/>
    <w:rsid w:val="006637E4"/>
    <w:rsid w:val="006660BA"/>
    <w:rsid w:val="006667AB"/>
    <w:rsid w:val="006667BC"/>
    <w:rsid w:val="006670CE"/>
    <w:rsid w:val="00667154"/>
    <w:rsid w:val="00671312"/>
    <w:rsid w:val="00671F00"/>
    <w:rsid w:val="006743DF"/>
    <w:rsid w:val="00675443"/>
    <w:rsid w:val="00675DC3"/>
    <w:rsid w:val="00677399"/>
    <w:rsid w:val="006822C4"/>
    <w:rsid w:val="00684134"/>
    <w:rsid w:val="00684A80"/>
    <w:rsid w:val="00687503"/>
    <w:rsid w:val="00690430"/>
    <w:rsid w:val="0069340F"/>
    <w:rsid w:val="00694A6B"/>
    <w:rsid w:val="00695713"/>
    <w:rsid w:val="00695948"/>
    <w:rsid w:val="00695BD8"/>
    <w:rsid w:val="0069743E"/>
    <w:rsid w:val="00697FEB"/>
    <w:rsid w:val="006A0955"/>
    <w:rsid w:val="006A0A99"/>
    <w:rsid w:val="006A1F12"/>
    <w:rsid w:val="006A3B16"/>
    <w:rsid w:val="006A4A7D"/>
    <w:rsid w:val="006A51DA"/>
    <w:rsid w:val="006A570E"/>
    <w:rsid w:val="006A60C6"/>
    <w:rsid w:val="006A6488"/>
    <w:rsid w:val="006A6AD6"/>
    <w:rsid w:val="006A6DF9"/>
    <w:rsid w:val="006B16F5"/>
    <w:rsid w:val="006B2996"/>
    <w:rsid w:val="006B3CDE"/>
    <w:rsid w:val="006B401B"/>
    <w:rsid w:val="006B5135"/>
    <w:rsid w:val="006B5689"/>
    <w:rsid w:val="006B59BD"/>
    <w:rsid w:val="006C1B39"/>
    <w:rsid w:val="006C1F2D"/>
    <w:rsid w:val="006C2487"/>
    <w:rsid w:val="006C26B2"/>
    <w:rsid w:val="006C37EE"/>
    <w:rsid w:val="006C5CC5"/>
    <w:rsid w:val="006C68E4"/>
    <w:rsid w:val="006C6B3F"/>
    <w:rsid w:val="006C6C57"/>
    <w:rsid w:val="006C738F"/>
    <w:rsid w:val="006D02E3"/>
    <w:rsid w:val="006D0AE9"/>
    <w:rsid w:val="006D2334"/>
    <w:rsid w:val="006D4D15"/>
    <w:rsid w:val="006D655A"/>
    <w:rsid w:val="006E2834"/>
    <w:rsid w:val="006E2B42"/>
    <w:rsid w:val="006E403F"/>
    <w:rsid w:val="006E5084"/>
    <w:rsid w:val="006E5F47"/>
    <w:rsid w:val="006E6800"/>
    <w:rsid w:val="006E70DB"/>
    <w:rsid w:val="006E75B8"/>
    <w:rsid w:val="006F0901"/>
    <w:rsid w:val="006F16CB"/>
    <w:rsid w:val="006F28EE"/>
    <w:rsid w:val="006F3554"/>
    <w:rsid w:val="006F37E2"/>
    <w:rsid w:val="006F6039"/>
    <w:rsid w:val="006F710E"/>
    <w:rsid w:val="0070417B"/>
    <w:rsid w:val="00704696"/>
    <w:rsid w:val="00704764"/>
    <w:rsid w:val="00705879"/>
    <w:rsid w:val="00706FF8"/>
    <w:rsid w:val="007076C4"/>
    <w:rsid w:val="00707858"/>
    <w:rsid w:val="007100E4"/>
    <w:rsid w:val="0071092A"/>
    <w:rsid w:val="00711528"/>
    <w:rsid w:val="0071160C"/>
    <w:rsid w:val="00712230"/>
    <w:rsid w:val="00712566"/>
    <w:rsid w:val="00713D10"/>
    <w:rsid w:val="007148D7"/>
    <w:rsid w:val="00715FC5"/>
    <w:rsid w:val="00716FD3"/>
    <w:rsid w:val="007174AA"/>
    <w:rsid w:val="007174C6"/>
    <w:rsid w:val="00717686"/>
    <w:rsid w:val="007178D8"/>
    <w:rsid w:val="00717B67"/>
    <w:rsid w:val="0072033E"/>
    <w:rsid w:val="00722D1D"/>
    <w:rsid w:val="00722F3E"/>
    <w:rsid w:val="00723619"/>
    <w:rsid w:val="0072374E"/>
    <w:rsid w:val="007239DC"/>
    <w:rsid w:val="0072497F"/>
    <w:rsid w:val="00724A09"/>
    <w:rsid w:val="00725105"/>
    <w:rsid w:val="00725DAF"/>
    <w:rsid w:val="00727656"/>
    <w:rsid w:val="00730273"/>
    <w:rsid w:val="007305D1"/>
    <w:rsid w:val="00730A96"/>
    <w:rsid w:val="00730B4D"/>
    <w:rsid w:val="00731534"/>
    <w:rsid w:val="00732942"/>
    <w:rsid w:val="00732E9E"/>
    <w:rsid w:val="00733382"/>
    <w:rsid w:val="007347F8"/>
    <w:rsid w:val="00734C51"/>
    <w:rsid w:val="007364D7"/>
    <w:rsid w:val="00737B07"/>
    <w:rsid w:val="0074065E"/>
    <w:rsid w:val="0074394C"/>
    <w:rsid w:val="0075017A"/>
    <w:rsid w:val="0075148E"/>
    <w:rsid w:val="007520D8"/>
    <w:rsid w:val="0075315E"/>
    <w:rsid w:val="00753BEB"/>
    <w:rsid w:val="00754D10"/>
    <w:rsid w:val="00754ED5"/>
    <w:rsid w:val="00755209"/>
    <w:rsid w:val="0075568F"/>
    <w:rsid w:val="00756751"/>
    <w:rsid w:val="007607E3"/>
    <w:rsid w:val="00761783"/>
    <w:rsid w:val="00762C12"/>
    <w:rsid w:val="00762D83"/>
    <w:rsid w:val="00764F38"/>
    <w:rsid w:val="00766112"/>
    <w:rsid w:val="0076628E"/>
    <w:rsid w:val="0077009A"/>
    <w:rsid w:val="007702DA"/>
    <w:rsid w:val="00773850"/>
    <w:rsid w:val="007741D6"/>
    <w:rsid w:val="007752F2"/>
    <w:rsid w:val="0077640E"/>
    <w:rsid w:val="00780A6C"/>
    <w:rsid w:val="00781DEF"/>
    <w:rsid w:val="00782EA6"/>
    <w:rsid w:val="00784E27"/>
    <w:rsid w:val="007874C7"/>
    <w:rsid w:val="00790E01"/>
    <w:rsid w:val="007920EC"/>
    <w:rsid w:val="00792158"/>
    <w:rsid w:val="00792326"/>
    <w:rsid w:val="00792BD0"/>
    <w:rsid w:val="0079391D"/>
    <w:rsid w:val="00793DF4"/>
    <w:rsid w:val="0079553B"/>
    <w:rsid w:val="0079572B"/>
    <w:rsid w:val="00795C43"/>
    <w:rsid w:val="007961B8"/>
    <w:rsid w:val="007A3335"/>
    <w:rsid w:val="007A3667"/>
    <w:rsid w:val="007A4DDC"/>
    <w:rsid w:val="007A587D"/>
    <w:rsid w:val="007A7832"/>
    <w:rsid w:val="007B3DE1"/>
    <w:rsid w:val="007B4009"/>
    <w:rsid w:val="007B45A9"/>
    <w:rsid w:val="007B49CC"/>
    <w:rsid w:val="007B59BA"/>
    <w:rsid w:val="007B5B4D"/>
    <w:rsid w:val="007B68B0"/>
    <w:rsid w:val="007C0E4A"/>
    <w:rsid w:val="007C21C7"/>
    <w:rsid w:val="007C312B"/>
    <w:rsid w:val="007C3934"/>
    <w:rsid w:val="007C4C9E"/>
    <w:rsid w:val="007C4F31"/>
    <w:rsid w:val="007C5370"/>
    <w:rsid w:val="007C660E"/>
    <w:rsid w:val="007C674E"/>
    <w:rsid w:val="007C6791"/>
    <w:rsid w:val="007C7C83"/>
    <w:rsid w:val="007D0581"/>
    <w:rsid w:val="007D4FB9"/>
    <w:rsid w:val="007D5158"/>
    <w:rsid w:val="007D5AAE"/>
    <w:rsid w:val="007D6796"/>
    <w:rsid w:val="007D7511"/>
    <w:rsid w:val="007D7E72"/>
    <w:rsid w:val="007E1F4F"/>
    <w:rsid w:val="007E2464"/>
    <w:rsid w:val="007E347E"/>
    <w:rsid w:val="007E3BE0"/>
    <w:rsid w:val="007E3C60"/>
    <w:rsid w:val="007E64AA"/>
    <w:rsid w:val="007F339F"/>
    <w:rsid w:val="007F3C4A"/>
    <w:rsid w:val="007F4DAB"/>
    <w:rsid w:val="007F58B6"/>
    <w:rsid w:val="007F66D7"/>
    <w:rsid w:val="007F7D32"/>
    <w:rsid w:val="007F7DE2"/>
    <w:rsid w:val="007F7E42"/>
    <w:rsid w:val="0080109A"/>
    <w:rsid w:val="00802115"/>
    <w:rsid w:val="00802A1F"/>
    <w:rsid w:val="00804B55"/>
    <w:rsid w:val="008053CF"/>
    <w:rsid w:val="0081038F"/>
    <w:rsid w:val="0081086E"/>
    <w:rsid w:val="008116F7"/>
    <w:rsid w:val="008117F7"/>
    <w:rsid w:val="00811EF8"/>
    <w:rsid w:val="00812B5C"/>
    <w:rsid w:val="00812CF6"/>
    <w:rsid w:val="00815916"/>
    <w:rsid w:val="00816798"/>
    <w:rsid w:val="0082054D"/>
    <w:rsid w:val="00820AEE"/>
    <w:rsid w:val="00821A1D"/>
    <w:rsid w:val="00822CB7"/>
    <w:rsid w:val="00823B15"/>
    <w:rsid w:val="008266BA"/>
    <w:rsid w:val="0083056B"/>
    <w:rsid w:val="008321E3"/>
    <w:rsid w:val="008335FE"/>
    <w:rsid w:val="00834A63"/>
    <w:rsid w:val="008354D9"/>
    <w:rsid w:val="00835B79"/>
    <w:rsid w:val="00835CAB"/>
    <w:rsid w:val="008360E7"/>
    <w:rsid w:val="00836770"/>
    <w:rsid w:val="008372B6"/>
    <w:rsid w:val="00837924"/>
    <w:rsid w:val="00837A0C"/>
    <w:rsid w:val="00837B86"/>
    <w:rsid w:val="00841B05"/>
    <w:rsid w:val="00841FCA"/>
    <w:rsid w:val="00845400"/>
    <w:rsid w:val="00845F4F"/>
    <w:rsid w:val="008463BF"/>
    <w:rsid w:val="008472DD"/>
    <w:rsid w:val="00850CD3"/>
    <w:rsid w:val="00851892"/>
    <w:rsid w:val="00851A3E"/>
    <w:rsid w:val="00853580"/>
    <w:rsid w:val="00854161"/>
    <w:rsid w:val="00854C91"/>
    <w:rsid w:val="00856897"/>
    <w:rsid w:val="00857C02"/>
    <w:rsid w:val="008620F1"/>
    <w:rsid w:val="00862C00"/>
    <w:rsid w:val="00863BF1"/>
    <w:rsid w:val="00866659"/>
    <w:rsid w:val="00866A92"/>
    <w:rsid w:val="00866CC8"/>
    <w:rsid w:val="008670B8"/>
    <w:rsid w:val="00871069"/>
    <w:rsid w:val="00871E8E"/>
    <w:rsid w:val="008752A3"/>
    <w:rsid w:val="00877BF3"/>
    <w:rsid w:val="008801DB"/>
    <w:rsid w:val="008815B2"/>
    <w:rsid w:val="00885C33"/>
    <w:rsid w:val="00885D87"/>
    <w:rsid w:val="00886DD2"/>
    <w:rsid w:val="00890E0E"/>
    <w:rsid w:val="00890EBF"/>
    <w:rsid w:val="00894510"/>
    <w:rsid w:val="00895B41"/>
    <w:rsid w:val="008970FB"/>
    <w:rsid w:val="008977D1"/>
    <w:rsid w:val="008A0014"/>
    <w:rsid w:val="008A26B3"/>
    <w:rsid w:val="008A5A77"/>
    <w:rsid w:val="008A75EE"/>
    <w:rsid w:val="008B0FDE"/>
    <w:rsid w:val="008B15AA"/>
    <w:rsid w:val="008B2CC5"/>
    <w:rsid w:val="008B3423"/>
    <w:rsid w:val="008B35FB"/>
    <w:rsid w:val="008B42B3"/>
    <w:rsid w:val="008B549B"/>
    <w:rsid w:val="008B66FD"/>
    <w:rsid w:val="008B763B"/>
    <w:rsid w:val="008B7BFB"/>
    <w:rsid w:val="008C3E9E"/>
    <w:rsid w:val="008C41F1"/>
    <w:rsid w:val="008C447F"/>
    <w:rsid w:val="008C4889"/>
    <w:rsid w:val="008C51FD"/>
    <w:rsid w:val="008C6B86"/>
    <w:rsid w:val="008C7B0F"/>
    <w:rsid w:val="008D0816"/>
    <w:rsid w:val="008D1D88"/>
    <w:rsid w:val="008D3888"/>
    <w:rsid w:val="008D39FD"/>
    <w:rsid w:val="008D5732"/>
    <w:rsid w:val="008D58B6"/>
    <w:rsid w:val="008D6C4C"/>
    <w:rsid w:val="008D6F5D"/>
    <w:rsid w:val="008D7682"/>
    <w:rsid w:val="008E00B8"/>
    <w:rsid w:val="008E0171"/>
    <w:rsid w:val="008E1EA0"/>
    <w:rsid w:val="008E326C"/>
    <w:rsid w:val="008E3A74"/>
    <w:rsid w:val="008E3E06"/>
    <w:rsid w:val="008E4847"/>
    <w:rsid w:val="008E4ACE"/>
    <w:rsid w:val="008E4AF3"/>
    <w:rsid w:val="008E695C"/>
    <w:rsid w:val="008E72D3"/>
    <w:rsid w:val="008E76FE"/>
    <w:rsid w:val="008F0518"/>
    <w:rsid w:val="008F0E9A"/>
    <w:rsid w:val="008F2C86"/>
    <w:rsid w:val="008F2C8F"/>
    <w:rsid w:val="008F30C4"/>
    <w:rsid w:val="008F46B2"/>
    <w:rsid w:val="008F5105"/>
    <w:rsid w:val="008F7F97"/>
    <w:rsid w:val="00900729"/>
    <w:rsid w:val="00900747"/>
    <w:rsid w:val="00901B00"/>
    <w:rsid w:val="009042DF"/>
    <w:rsid w:val="009042FA"/>
    <w:rsid w:val="00905FF8"/>
    <w:rsid w:val="00906639"/>
    <w:rsid w:val="00907082"/>
    <w:rsid w:val="009076D1"/>
    <w:rsid w:val="00907F4E"/>
    <w:rsid w:val="00911DB1"/>
    <w:rsid w:val="0091309D"/>
    <w:rsid w:val="009140C9"/>
    <w:rsid w:val="0091463D"/>
    <w:rsid w:val="00914D2C"/>
    <w:rsid w:val="00915C6E"/>
    <w:rsid w:val="00916605"/>
    <w:rsid w:val="00916AB4"/>
    <w:rsid w:val="009173A5"/>
    <w:rsid w:val="00920198"/>
    <w:rsid w:val="0092025E"/>
    <w:rsid w:val="009208DE"/>
    <w:rsid w:val="00920B8A"/>
    <w:rsid w:val="00921594"/>
    <w:rsid w:val="009215C5"/>
    <w:rsid w:val="00926757"/>
    <w:rsid w:val="00927032"/>
    <w:rsid w:val="009335B0"/>
    <w:rsid w:val="009348BD"/>
    <w:rsid w:val="0094017D"/>
    <w:rsid w:val="0094034D"/>
    <w:rsid w:val="0094099E"/>
    <w:rsid w:val="00940BF2"/>
    <w:rsid w:val="00941469"/>
    <w:rsid w:val="00943B19"/>
    <w:rsid w:val="00943B43"/>
    <w:rsid w:val="00944C47"/>
    <w:rsid w:val="009456B2"/>
    <w:rsid w:val="00946553"/>
    <w:rsid w:val="009502C0"/>
    <w:rsid w:val="00952392"/>
    <w:rsid w:val="00954FBE"/>
    <w:rsid w:val="0095627F"/>
    <w:rsid w:val="00956D38"/>
    <w:rsid w:val="0095713B"/>
    <w:rsid w:val="00957D49"/>
    <w:rsid w:val="00957DC4"/>
    <w:rsid w:val="00961356"/>
    <w:rsid w:val="00961B26"/>
    <w:rsid w:val="00961D01"/>
    <w:rsid w:val="00962088"/>
    <w:rsid w:val="009654F7"/>
    <w:rsid w:val="00970BAF"/>
    <w:rsid w:val="00970C8E"/>
    <w:rsid w:val="00973968"/>
    <w:rsid w:val="0097607D"/>
    <w:rsid w:val="00976FD3"/>
    <w:rsid w:val="009776BD"/>
    <w:rsid w:val="00981592"/>
    <w:rsid w:val="009824AA"/>
    <w:rsid w:val="00982950"/>
    <w:rsid w:val="00982CBD"/>
    <w:rsid w:val="009835F1"/>
    <w:rsid w:val="00984016"/>
    <w:rsid w:val="00985060"/>
    <w:rsid w:val="00986002"/>
    <w:rsid w:val="00986937"/>
    <w:rsid w:val="00987191"/>
    <w:rsid w:val="009878F8"/>
    <w:rsid w:val="00987EB1"/>
    <w:rsid w:val="0099175F"/>
    <w:rsid w:val="0099180F"/>
    <w:rsid w:val="0099280D"/>
    <w:rsid w:val="00992FFB"/>
    <w:rsid w:val="00995745"/>
    <w:rsid w:val="009A0DDA"/>
    <w:rsid w:val="009A1370"/>
    <w:rsid w:val="009A2C74"/>
    <w:rsid w:val="009A309F"/>
    <w:rsid w:val="009A3EC6"/>
    <w:rsid w:val="009A57B7"/>
    <w:rsid w:val="009A7495"/>
    <w:rsid w:val="009B25AD"/>
    <w:rsid w:val="009B3EF1"/>
    <w:rsid w:val="009B515D"/>
    <w:rsid w:val="009B574B"/>
    <w:rsid w:val="009B7A73"/>
    <w:rsid w:val="009C039D"/>
    <w:rsid w:val="009C060E"/>
    <w:rsid w:val="009C27E3"/>
    <w:rsid w:val="009C44CF"/>
    <w:rsid w:val="009D1844"/>
    <w:rsid w:val="009D4448"/>
    <w:rsid w:val="009D473F"/>
    <w:rsid w:val="009D5E48"/>
    <w:rsid w:val="009D7F67"/>
    <w:rsid w:val="009E1756"/>
    <w:rsid w:val="009E1BF1"/>
    <w:rsid w:val="009E2064"/>
    <w:rsid w:val="009E22C0"/>
    <w:rsid w:val="009E281D"/>
    <w:rsid w:val="009E28EC"/>
    <w:rsid w:val="009E2DCD"/>
    <w:rsid w:val="009E312B"/>
    <w:rsid w:val="009E3D31"/>
    <w:rsid w:val="009E4D1E"/>
    <w:rsid w:val="009E506E"/>
    <w:rsid w:val="009E530B"/>
    <w:rsid w:val="009E62C3"/>
    <w:rsid w:val="009E654F"/>
    <w:rsid w:val="009E738D"/>
    <w:rsid w:val="009F0896"/>
    <w:rsid w:val="009F0CDA"/>
    <w:rsid w:val="009F26E5"/>
    <w:rsid w:val="009F26F1"/>
    <w:rsid w:val="009F272E"/>
    <w:rsid w:val="009F33AD"/>
    <w:rsid w:val="009F46A3"/>
    <w:rsid w:val="009F51BF"/>
    <w:rsid w:val="009F576A"/>
    <w:rsid w:val="009F5A66"/>
    <w:rsid w:val="009F6C80"/>
    <w:rsid w:val="009F6D53"/>
    <w:rsid w:val="009F7B3A"/>
    <w:rsid w:val="00A00B85"/>
    <w:rsid w:val="00A02E0C"/>
    <w:rsid w:val="00A035A8"/>
    <w:rsid w:val="00A04A64"/>
    <w:rsid w:val="00A050F5"/>
    <w:rsid w:val="00A0524C"/>
    <w:rsid w:val="00A06A02"/>
    <w:rsid w:val="00A12214"/>
    <w:rsid w:val="00A12AB7"/>
    <w:rsid w:val="00A1466A"/>
    <w:rsid w:val="00A14B3A"/>
    <w:rsid w:val="00A16DF7"/>
    <w:rsid w:val="00A20B00"/>
    <w:rsid w:val="00A22109"/>
    <w:rsid w:val="00A23F1F"/>
    <w:rsid w:val="00A25092"/>
    <w:rsid w:val="00A2785F"/>
    <w:rsid w:val="00A30575"/>
    <w:rsid w:val="00A33054"/>
    <w:rsid w:val="00A36AB6"/>
    <w:rsid w:val="00A37496"/>
    <w:rsid w:val="00A378BF"/>
    <w:rsid w:val="00A40944"/>
    <w:rsid w:val="00A40DAB"/>
    <w:rsid w:val="00A41176"/>
    <w:rsid w:val="00A436EA"/>
    <w:rsid w:val="00A4401E"/>
    <w:rsid w:val="00A442DD"/>
    <w:rsid w:val="00A44760"/>
    <w:rsid w:val="00A45B4E"/>
    <w:rsid w:val="00A4625D"/>
    <w:rsid w:val="00A50ED2"/>
    <w:rsid w:val="00A54F81"/>
    <w:rsid w:val="00A56346"/>
    <w:rsid w:val="00A56C9D"/>
    <w:rsid w:val="00A62020"/>
    <w:rsid w:val="00A623E3"/>
    <w:rsid w:val="00A62471"/>
    <w:rsid w:val="00A63782"/>
    <w:rsid w:val="00A63991"/>
    <w:rsid w:val="00A67AE5"/>
    <w:rsid w:val="00A7007F"/>
    <w:rsid w:val="00A711B6"/>
    <w:rsid w:val="00A725C8"/>
    <w:rsid w:val="00A7495A"/>
    <w:rsid w:val="00A75A31"/>
    <w:rsid w:val="00A80438"/>
    <w:rsid w:val="00A80FE4"/>
    <w:rsid w:val="00A82DCF"/>
    <w:rsid w:val="00A84020"/>
    <w:rsid w:val="00A8435F"/>
    <w:rsid w:val="00A84959"/>
    <w:rsid w:val="00A85472"/>
    <w:rsid w:val="00A854DA"/>
    <w:rsid w:val="00A85A22"/>
    <w:rsid w:val="00A85B69"/>
    <w:rsid w:val="00A860BC"/>
    <w:rsid w:val="00A87791"/>
    <w:rsid w:val="00A9000E"/>
    <w:rsid w:val="00A906D1"/>
    <w:rsid w:val="00A9470F"/>
    <w:rsid w:val="00A9501E"/>
    <w:rsid w:val="00A95085"/>
    <w:rsid w:val="00A95E14"/>
    <w:rsid w:val="00A96E88"/>
    <w:rsid w:val="00AA0436"/>
    <w:rsid w:val="00AA0721"/>
    <w:rsid w:val="00AA1957"/>
    <w:rsid w:val="00AA2F43"/>
    <w:rsid w:val="00AA43AF"/>
    <w:rsid w:val="00AA4CBF"/>
    <w:rsid w:val="00AA57AD"/>
    <w:rsid w:val="00AA5C8C"/>
    <w:rsid w:val="00AA776A"/>
    <w:rsid w:val="00AB05D8"/>
    <w:rsid w:val="00AB14D7"/>
    <w:rsid w:val="00AB16D0"/>
    <w:rsid w:val="00AB175F"/>
    <w:rsid w:val="00AB23D7"/>
    <w:rsid w:val="00AB2C6D"/>
    <w:rsid w:val="00AB335E"/>
    <w:rsid w:val="00AB6327"/>
    <w:rsid w:val="00AB7A1A"/>
    <w:rsid w:val="00AC01BC"/>
    <w:rsid w:val="00AC310C"/>
    <w:rsid w:val="00AC36CA"/>
    <w:rsid w:val="00AC3B01"/>
    <w:rsid w:val="00AC6A92"/>
    <w:rsid w:val="00AC6B9E"/>
    <w:rsid w:val="00AC6F22"/>
    <w:rsid w:val="00AC7D4C"/>
    <w:rsid w:val="00AC7F5B"/>
    <w:rsid w:val="00AD12A0"/>
    <w:rsid w:val="00AD1920"/>
    <w:rsid w:val="00AD335C"/>
    <w:rsid w:val="00AD4193"/>
    <w:rsid w:val="00AD4375"/>
    <w:rsid w:val="00AD47E5"/>
    <w:rsid w:val="00AD4F2E"/>
    <w:rsid w:val="00AD6CEA"/>
    <w:rsid w:val="00AE0454"/>
    <w:rsid w:val="00AE05E4"/>
    <w:rsid w:val="00AE084B"/>
    <w:rsid w:val="00AE3394"/>
    <w:rsid w:val="00AE7DA1"/>
    <w:rsid w:val="00AF1137"/>
    <w:rsid w:val="00AF2800"/>
    <w:rsid w:val="00AF3F30"/>
    <w:rsid w:val="00AF48E3"/>
    <w:rsid w:val="00AF59E9"/>
    <w:rsid w:val="00AF5F9A"/>
    <w:rsid w:val="00AF7E65"/>
    <w:rsid w:val="00B00841"/>
    <w:rsid w:val="00B01607"/>
    <w:rsid w:val="00B024F1"/>
    <w:rsid w:val="00B0502D"/>
    <w:rsid w:val="00B05F30"/>
    <w:rsid w:val="00B062EA"/>
    <w:rsid w:val="00B11E77"/>
    <w:rsid w:val="00B13068"/>
    <w:rsid w:val="00B137DD"/>
    <w:rsid w:val="00B13E90"/>
    <w:rsid w:val="00B17F33"/>
    <w:rsid w:val="00B2197B"/>
    <w:rsid w:val="00B23FDD"/>
    <w:rsid w:val="00B24B69"/>
    <w:rsid w:val="00B24BAD"/>
    <w:rsid w:val="00B25656"/>
    <w:rsid w:val="00B27C94"/>
    <w:rsid w:val="00B27F75"/>
    <w:rsid w:val="00B33899"/>
    <w:rsid w:val="00B35196"/>
    <w:rsid w:val="00B353D3"/>
    <w:rsid w:val="00B36027"/>
    <w:rsid w:val="00B37CFB"/>
    <w:rsid w:val="00B4055B"/>
    <w:rsid w:val="00B41CDB"/>
    <w:rsid w:val="00B42449"/>
    <w:rsid w:val="00B432B0"/>
    <w:rsid w:val="00B434B3"/>
    <w:rsid w:val="00B435AB"/>
    <w:rsid w:val="00B443F5"/>
    <w:rsid w:val="00B44F3C"/>
    <w:rsid w:val="00B45742"/>
    <w:rsid w:val="00B5207F"/>
    <w:rsid w:val="00B5342D"/>
    <w:rsid w:val="00B53D5C"/>
    <w:rsid w:val="00B556D9"/>
    <w:rsid w:val="00B55BA3"/>
    <w:rsid w:val="00B60148"/>
    <w:rsid w:val="00B60329"/>
    <w:rsid w:val="00B6064F"/>
    <w:rsid w:val="00B613EF"/>
    <w:rsid w:val="00B6334F"/>
    <w:rsid w:val="00B65463"/>
    <w:rsid w:val="00B65BFA"/>
    <w:rsid w:val="00B66474"/>
    <w:rsid w:val="00B6794F"/>
    <w:rsid w:val="00B67A6D"/>
    <w:rsid w:val="00B67EA0"/>
    <w:rsid w:val="00B72B82"/>
    <w:rsid w:val="00B7317A"/>
    <w:rsid w:val="00B742CF"/>
    <w:rsid w:val="00B7430E"/>
    <w:rsid w:val="00B7466A"/>
    <w:rsid w:val="00B74CC6"/>
    <w:rsid w:val="00B77055"/>
    <w:rsid w:val="00B8076B"/>
    <w:rsid w:val="00B81B90"/>
    <w:rsid w:val="00B81CB4"/>
    <w:rsid w:val="00B82479"/>
    <w:rsid w:val="00B83D07"/>
    <w:rsid w:val="00B848C3"/>
    <w:rsid w:val="00B86227"/>
    <w:rsid w:val="00B8725A"/>
    <w:rsid w:val="00B8742C"/>
    <w:rsid w:val="00B94F49"/>
    <w:rsid w:val="00B95201"/>
    <w:rsid w:val="00B95741"/>
    <w:rsid w:val="00BA04F2"/>
    <w:rsid w:val="00BA10FB"/>
    <w:rsid w:val="00BA17B3"/>
    <w:rsid w:val="00BA1DB6"/>
    <w:rsid w:val="00BA65BE"/>
    <w:rsid w:val="00BA6AA9"/>
    <w:rsid w:val="00BB07DA"/>
    <w:rsid w:val="00BB41B6"/>
    <w:rsid w:val="00BB4561"/>
    <w:rsid w:val="00BC0711"/>
    <w:rsid w:val="00BC0B5F"/>
    <w:rsid w:val="00BC1C41"/>
    <w:rsid w:val="00BC2DE1"/>
    <w:rsid w:val="00BC2E69"/>
    <w:rsid w:val="00BC3FFF"/>
    <w:rsid w:val="00BC5BD6"/>
    <w:rsid w:val="00BC6160"/>
    <w:rsid w:val="00BC6360"/>
    <w:rsid w:val="00BD2768"/>
    <w:rsid w:val="00BD27A8"/>
    <w:rsid w:val="00BD3002"/>
    <w:rsid w:val="00BD3C22"/>
    <w:rsid w:val="00BD50D7"/>
    <w:rsid w:val="00BD5589"/>
    <w:rsid w:val="00BD5792"/>
    <w:rsid w:val="00BD5E6A"/>
    <w:rsid w:val="00BD652C"/>
    <w:rsid w:val="00BD6ABA"/>
    <w:rsid w:val="00BD6C47"/>
    <w:rsid w:val="00BD7953"/>
    <w:rsid w:val="00BD7A9F"/>
    <w:rsid w:val="00BE1360"/>
    <w:rsid w:val="00BE1804"/>
    <w:rsid w:val="00BE2755"/>
    <w:rsid w:val="00BE2A0D"/>
    <w:rsid w:val="00BE2A46"/>
    <w:rsid w:val="00BE2C3C"/>
    <w:rsid w:val="00BE2DE4"/>
    <w:rsid w:val="00BE642F"/>
    <w:rsid w:val="00BF0207"/>
    <w:rsid w:val="00BF0C60"/>
    <w:rsid w:val="00BF4FED"/>
    <w:rsid w:val="00BF5A67"/>
    <w:rsid w:val="00BF7A83"/>
    <w:rsid w:val="00C012B4"/>
    <w:rsid w:val="00C01650"/>
    <w:rsid w:val="00C01667"/>
    <w:rsid w:val="00C03310"/>
    <w:rsid w:val="00C03739"/>
    <w:rsid w:val="00C062D1"/>
    <w:rsid w:val="00C1090D"/>
    <w:rsid w:val="00C109EF"/>
    <w:rsid w:val="00C13F97"/>
    <w:rsid w:val="00C144C8"/>
    <w:rsid w:val="00C149D8"/>
    <w:rsid w:val="00C15653"/>
    <w:rsid w:val="00C15B38"/>
    <w:rsid w:val="00C16F8B"/>
    <w:rsid w:val="00C17912"/>
    <w:rsid w:val="00C2003C"/>
    <w:rsid w:val="00C203C7"/>
    <w:rsid w:val="00C2170B"/>
    <w:rsid w:val="00C21D35"/>
    <w:rsid w:val="00C227ED"/>
    <w:rsid w:val="00C2295A"/>
    <w:rsid w:val="00C24E0C"/>
    <w:rsid w:val="00C250AE"/>
    <w:rsid w:val="00C258E8"/>
    <w:rsid w:val="00C3286A"/>
    <w:rsid w:val="00C347E6"/>
    <w:rsid w:val="00C351D1"/>
    <w:rsid w:val="00C362FD"/>
    <w:rsid w:val="00C37973"/>
    <w:rsid w:val="00C41973"/>
    <w:rsid w:val="00C43B4D"/>
    <w:rsid w:val="00C43C1B"/>
    <w:rsid w:val="00C4413D"/>
    <w:rsid w:val="00C4433B"/>
    <w:rsid w:val="00C461A6"/>
    <w:rsid w:val="00C46443"/>
    <w:rsid w:val="00C50A8B"/>
    <w:rsid w:val="00C52437"/>
    <w:rsid w:val="00C527ED"/>
    <w:rsid w:val="00C52D64"/>
    <w:rsid w:val="00C53A71"/>
    <w:rsid w:val="00C54034"/>
    <w:rsid w:val="00C55042"/>
    <w:rsid w:val="00C55596"/>
    <w:rsid w:val="00C601E3"/>
    <w:rsid w:val="00C629F9"/>
    <w:rsid w:val="00C62C65"/>
    <w:rsid w:val="00C637EB"/>
    <w:rsid w:val="00C639B9"/>
    <w:rsid w:val="00C63F3D"/>
    <w:rsid w:val="00C64559"/>
    <w:rsid w:val="00C678F1"/>
    <w:rsid w:val="00C708FC"/>
    <w:rsid w:val="00C711A0"/>
    <w:rsid w:val="00C71F9D"/>
    <w:rsid w:val="00C7277B"/>
    <w:rsid w:val="00C73221"/>
    <w:rsid w:val="00C733EC"/>
    <w:rsid w:val="00C7452D"/>
    <w:rsid w:val="00C747E5"/>
    <w:rsid w:val="00C75E12"/>
    <w:rsid w:val="00C75ECE"/>
    <w:rsid w:val="00C76E9B"/>
    <w:rsid w:val="00C77432"/>
    <w:rsid w:val="00C7761A"/>
    <w:rsid w:val="00C77D2E"/>
    <w:rsid w:val="00C83D47"/>
    <w:rsid w:val="00C845BB"/>
    <w:rsid w:val="00C84942"/>
    <w:rsid w:val="00C853AB"/>
    <w:rsid w:val="00C86D29"/>
    <w:rsid w:val="00C9027D"/>
    <w:rsid w:val="00C9122A"/>
    <w:rsid w:val="00C92400"/>
    <w:rsid w:val="00C93483"/>
    <w:rsid w:val="00C9356F"/>
    <w:rsid w:val="00C94AD8"/>
    <w:rsid w:val="00C94C22"/>
    <w:rsid w:val="00C9514C"/>
    <w:rsid w:val="00C9538C"/>
    <w:rsid w:val="00C970C2"/>
    <w:rsid w:val="00C9715F"/>
    <w:rsid w:val="00C978F6"/>
    <w:rsid w:val="00CA27AD"/>
    <w:rsid w:val="00CA2B13"/>
    <w:rsid w:val="00CA3D09"/>
    <w:rsid w:val="00CA4FB8"/>
    <w:rsid w:val="00CA502A"/>
    <w:rsid w:val="00CA5CD4"/>
    <w:rsid w:val="00CA7D10"/>
    <w:rsid w:val="00CA7FD9"/>
    <w:rsid w:val="00CB07F4"/>
    <w:rsid w:val="00CB084A"/>
    <w:rsid w:val="00CB118C"/>
    <w:rsid w:val="00CB308E"/>
    <w:rsid w:val="00CB380B"/>
    <w:rsid w:val="00CB434B"/>
    <w:rsid w:val="00CB5226"/>
    <w:rsid w:val="00CB66C9"/>
    <w:rsid w:val="00CB6972"/>
    <w:rsid w:val="00CB7432"/>
    <w:rsid w:val="00CB770A"/>
    <w:rsid w:val="00CB7F7B"/>
    <w:rsid w:val="00CC0386"/>
    <w:rsid w:val="00CC0A6F"/>
    <w:rsid w:val="00CC0E08"/>
    <w:rsid w:val="00CC1BB6"/>
    <w:rsid w:val="00CC1BFB"/>
    <w:rsid w:val="00CC1FF1"/>
    <w:rsid w:val="00CC4D73"/>
    <w:rsid w:val="00CD14A4"/>
    <w:rsid w:val="00CD27A1"/>
    <w:rsid w:val="00CD4FDB"/>
    <w:rsid w:val="00CE09BE"/>
    <w:rsid w:val="00CE1A47"/>
    <w:rsid w:val="00CE28E6"/>
    <w:rsid w:val="00CE5312"/>
    <w:rsid w:val="00CF08C8"/>
    <w:rsid w:val="00CF280B"/>
    <w:rsid w:val="00CF3435"/>
    <w:rsid w:val="00CF3783"/>
    <w:rsid w:val="00CF389D"/>
    <w:rsid w:val="00CF552F"/>
    <w:rsid w:val="00CF5A4B"/>
    <w:rsid w:val="00CF5C1D"/>
    <w:rsid w:val="00D024E0"/>
    <w:rsid w:val="00D02E7E"/>
    <w:rsid w:val="00D062B3"/>
    <w:rsid w:val="00D10314"/>
    <w:rsid w:val="00D10743"/>
    <w:rsid w:val="00D11175"/>
    <w:rsid w:val="00D13FB3"/>
    <w:rsid w:val="00D1478D"/>
    <w:rsid w:val="00D1572A"/>
    <w:rsid w:val="00D200DB"/>
    <w:rsid w:val="00D237C9"/>
    <w:rsid w:val="00D243FC"/>
    <w:rsid w:val="00D24C89"/>
    <w:rsid w:val="00D2554C"/>
    <w:rsid w:val="00D25F8C"/>
    <w:rsid w:val="00D26D8F"/>
    <w:rsid w:val="00D31759"/>
    <w:rsid w:val="00D3250C"/>
    <w:rsid w:val="00D331AA"/>
    <w:rsid w:val="00D3345D"/>
    <w:rsid w:val="00D33716"/>
    <w:rsid w:val="00D357AB"/>
    <w:rsid w:val="00D3623F"/>
    <w:rsid w:val="00D4060D"/>
    <w:rsid w:val="00D44698"/>
    <w:rsid w:val="00D52718"/>
    <w:rsid w:val="00D53064"/>
    <w:rsid w:val="00D54714"/>
    <w:rsid w:val="00D5478A"/>
    <w:rsid w:val="00D551E7"/>
    <w:rsid w:val="00D56F1B"/>
    <w:rsid w:val="00D6014F"/>
    <w:rsid w:val="00D61308"/>
    <w:rsid w:val="00D63130"/>
    <w:rsid w:val="00D64235"/>
    <w:rsid w:val="00D659F3"/>
    <w:rsid w:val="00D667D3"/>
    <w:rsid w:val="00D668AA"/>
    <w:rsid w:val="00D66B20"/>
    <w:rsid w:val="00D67EE7"/>
    <w:rsid w:val="00D706D6"/>
    <w:rsid w:val="00D70834"/>
    <w:rsid w:val="00D72F95"/>
    <w:rsid w:val="00D734EC"/>
    <w:rsid w:val="00D74C63"/>
    <w:rsid w:val="00D752D9"/>
    <w:rsid w:val="00D75C01"/>
    <w:rsid w:val="00D76DEF"/>
    <w:rsid w:val="00D77C19"/>
    <w:rsid w:val="00D80090"/>
    <w:rsid w:val="00D82F01"/>
    <w:rsid w:val="00D83EB1"/>
    <w:rsid w:val="00D84173"/>
    <w:rsid w:val="00D85EE9"/>
    <w:rsid w:val="00D87E22"/>
    <w:rsid w:val="00D90B3A"/>
    <w:rsid w:val="00D92634"/>
    <w:rsid w:val="00D93540"/>
    <w:rsid w:val="00D93914"/>
    <w:rsid w:val="00D95523"/>
    <w:rsid w:val="00D95E09"/>
    <w:rsid w:val="00D97160"/>
    <w:rsid w:val="00D9730F"/>
    <w:rsid w:val="00DA0688"/>
    <w:rsid w:val="00DA0777"/>
    <w:rsid w:val="00DA1205"/>
    <w:rsid w:val="00DA2643"/>
    <w:rsid w:val="00DA3B20"/>
    <w:rsid w:val="00DA4D54"/>
    <w:rsid w:val="00DA5457"/>
    <w:rsid w:val="00DA5576"/>
    <w:rsid w:val="00DA5804"/>
    <w:rsid w:val="00DA6BBD"/>
    <w:rsid w:val="00DB0DFE"/>
    <w:rsid w:val="00DB1118"/>
    <w:rsid w:val="00DB1BC8"/>
    <w:rsid w:val="00DB27AE"/>
    <w:rsid w:val="00DB317E"/>
    <w:rsid w:val="00DB4369"/>
    <w:rsid w:val="00DB45AC"/>
    <w:rsid w:val="00DB4B0D"/>
    <w:rsid w:val="00DB5262"/>
    <w:rsid w:val="00DB65EA"/>
    <w:rsid w:val="00DC21A9"/>
    <w:rsid w:val="00DC23CA"/>
    <w:rsid w:val="00DC33AA"/>
    <w:rsid w:val="00DC46AF"/>
    <w:rsid w:val="00DC4796"/>
    <w:rsid w:val="00DC669D"/>
    <w:rsid w:val="00DD2E2B"/>
    <w:rsid w:val="00DD68DE"/>
    <w:rsid w:val="00DE010F"/>
    <w:rsid w:val="00DE6078"/>
    <w:rsid w:val="00DE705A"/>
    <w:rsid w:val="00DE7153"/>
    <w:rsid w:val="00DE71FE"/>
    <w:rsid w:val="00DE73B4"/>
    <w:rsid w:val="00DE7E06"/>
    <w:rsid w:val="00DF0F35"/>
    <w:rsid w:val="00DF16DD"/>
    <w:rsid w:val="00DF23A1"/>
    <w:rsid w:val="00DF3636"/>
    <w:rsid w:val="00DF7C0D"/>
    <w:rsid w:val="00E029FA"/>
    <w:rsid w:val="00E030E2"/>
    <w:rsid w:val="00E0341E"/>
    <w:rsid w:val="00E03A0E"/>
    <w:rsid w:val="00E0520D"/>
    <w:rsid w:val="00E061D6"/>
    <w:rsid w:val="00E06955"/>
    <w:rsid w:val="00E07827"/>
    <w:rsid w:val="00E10824"/>
    <w:rsid w:val="00E12128"/>
    <w:rsid w:val="00E13014"/>
    <w:rsid w:val="00E13709"/>
    <w:rsid w:val="00E1376C"/>
    <w:rsid w:val="00E216A5"/>
    <w:rsid w:val="00E223D1"/>
    <w:rsid w:val="00E2310A"/>
    <w:rsid w:val="00E27A00"/>
    <w:rsid w:val="00E27C58"/>
    <w:rsid w:val="00E34662"/>
    <w:rsid w:val="00E3491C"/>
    <w:rsid w:val="00E35CE4"/>
    <w:rsid w:val="00E36BBD"/>
    <w:rsid w:val="00E41D3E"/>
    <w:rsid w:val="00E4251A"/>
    <w:rsid w:val="00E44849"/>
    <w:rsid w:val="00E46F76"/>
    <w:rsid w:val="00E500D5"/>
    <w:rsid w:val="00E5064F"/>
    <w:rsid w:val="00E50CAC"/>
    <w:rsid w:val="00E5396D"/>
    <w:rsid w:val="00E5764C"/>
    <w:rsid w:val="00E578C1"/>
    <w:rsid w:val="00E632C3"/>
    <w:rsid w:val="00E634F1"/>
    <w:rsid w:val="00E64141"/>
    <w:rsid w:val="00E645D3"/>
    <w:rsid w:val="00E64F8C"/>
    <w:rsid w:val="00E6512C"/>
    <w:rsid w:val="00E6570C"/>
    <w:rsid w:val="00E66FFB"/>
    <w:rsid w:val="00E67A66"/>
    <w:rsid w:val="00E67B24"/>
    <w:rsid w:val="00E67B73"/>
    <w:rsid w:val="00E71852"/>
    <w:rsid w:val="00E719C7"/>
    <w:rsid w:val="00E722AE"/>
    <w:rsid w:val="00E72CC5"/>
    <w:rsid w:val="00E73BD8"/>
    <w:rsid w:val="00E75C59"/>
    <w:rsid w:val="00E75F91"/>
    <w:rsid w:val="00E76638"/>
    <w:rsid w:val="00E76C86"/>
    <w:rsid w:val="00E76D9D"/>
    <w:rsid w:val="00E77C20"/>
    <w:rsid w:val="00E80A3A"/>
    <w:rsid w:val="00E8190F"/>
    <w:rsid w:val="00E851D6"/>
    <w:rsid w:val="00E860AD"/>
    <w:rsid w:val="00E86BB2"/>
    <w:rsid w:val="00E86CB6"/>
    <w:rsid w:val="00E87CD1"/>
    <w:rsid w:val="00E911A8"/>
    <w:rsid w:val="00E91A90"/>
    <w:rsid w:val="00E92D1A"/>
    <w:rsid w:val="00E93029"/>
    <w:rsid w:val="00E933B6"/>
    <w:rsid w:val="00E94451"/>
    <w:rsid w:val="00E951D7"/>
    <w:rsid w:val="00E95898"/>
    <w:rsid w:val="00E97F8D"/>
    <w:rsid w:val="00EA0B8F"/>
    <w:rsid w:val="00EA0E96"/>
    <w:rsid w:val="00EA2875"/>
    <w:rsid w:val="00EA307C"/>
    <w:rsid w:val="00EA4A35"/>
    <w:rsid w:val="00EA4D08"/>
    <w:rsid w:val="00EA4F8F"/>
    <w:rsid w:val="00EB0839"/>
    <w:rsid w:val="00EB1C17"/>
    <w:rsid w:val="00EB1F0B"/>
    <w:rsid w:val="00EB30B1"/>
    <w:rsid w:val="00EB3102"/>
    <w:rsid w:val="00EB3207"/>
    <w:rsid w:val="00EB5C53"/>
    <w:rsid w:val="00EB5CFE"/>
    <w:rsid w:val="00EB5F58"/>
    <w:rsid w:val="00EB68B1"/>
    <w:rsid w:val="00EB6A83"/>
    <w:rsid w:val="00EB74A6"/>
    <w:rsid w:val="00EC1213"/>
    <w:rsid w:val="00EC1627"/>
    <w:rsid w:val="00EC1DDA"/>
    <w:rsid w:val="00EC2675"/>
    <w:rsid w:val="00EC6C44"/>
    <w:rsid w:val="00ED0F9B"/>
    <w:rsid w:val="00ED13AB"/>
    <w:rsid w:val="00ED2AFE"/>
    <w:rsid w:val="00ED3416"/>
    <w:rsid w:val="00ED3B16"/>
    <w:rsid w:val="00ED44CE"/>
    <w:rsid w:val="00ED4A54"/>
    <w:rsid w:val="00ED4E6E"/>
    <w:rsid w:val="00ED5755"/>
    <w:rsid w:val="00ED5D73"/>
    <w:rsid w:val="00ED6631"/>
    <w:rsid w:val="00EE0200"/>
    <w:rsid w:val="00EE0328"/>
    <w:rsid w:val="00EE09B5"/>
    <w:rsid w:val="00EE0C2F"/>
    <w:rsid w:val="00EE41C2"/>
    <w:rsid w:val="00EE4746"/>
    <w:rsid w:val="00EE4B55"/>
    <w:rsid w:val="00EE7091"/>
    <w:rsid w:val="00EE7B3D"/>
    <w:rsid w:val="00EF08ED"/>
    <w:rsid w:val="00EF4436"/>
    <w:rsid w:val="00EF79F5"/>
    <w:rsid w:val="00EF7F00"/>
    <w:rsid w:val="00F01164"/>
    <w:rsid w:val="00F0144D"/>
    <w:rsid w:val="00F02166"/>
    <w:rsid w:val="00F02383"/>
    <w:rsid w:val="00F0436B"/>
    <w:rsid w:val="00F046CA"/>
    <w:rsid w:val="00F05ABB"/>
    <w:rsid w:val="00F06EE2"/>
    <w:rsid w:val="00F1144A"/>
    <w:rsid w:val="00F12291"/>
    <w:rsid w:val="00F131CD"/>
    <w:rsid w:val="00F14A2F"/>
    <w:rsid w:val="00F155A6"/>
    <w:rsid w:val="00F15D58"/>
    <w:rsid w:val="00F1608E"/>
    <w:rsid w:val="00F16ACB"/>
    <w:rsid w:val="00F16EE5"/>
    <w:rsid w:val="00F20F1B"/>
    <w:rsid w:val="00F2145C"/>
    <w:rsid w:val="00F22B00"/>
    <w:rsid w:val="00F243AA"/>
    <w:rsid w:val="00F243F3"/>
    <w:rsid w:val="00F30646"/>
    <w:rsid w:val="00F30D8D"/>
    <w:rsid w:val="00F3305D"/>
    <w:rsid w:val="00F347D3"/>
    <w:rsid w:val="00F34E65"/>
    <w:rsid w:val="00F35542"/>
    <w:rsid w:val="00F35E0D"/>
    <w:rsid w:val="00F37C2E"/>
    <w:rsid w:val="00F41AA1"/>
    <w:rsid w:val="00F429A1"/>
    <w:rsid w:val="00F42F33"/>
    <w:rsid w:val="00F43602"/>
    <w:rsid w:val="00F43BC1"/>
    <w:rsid w:val="00F4563A"/>
    <w:rsid w:val="00F45999"/>
    <w:rsid w:val="00F45C4E"/>
    <w:rsid w:val="00F4608E"/>
    <w:rsid w:val="00F473C6"/>
    <w:rsid w:val="00F52CC2"/>
    <w:rsid w:val="00F52CE6"/>
    <w:rsid w:val="00F530F5"/>
    <w:rsid w:val="00F53996"/>
    <w:rsid w:val="00F560DE"/>
    <w:rsid w:val="00F62D63"/>
    <w:rsid w:val="00F63943"/>
    <w:rsid w:val="00F64E5C"/>
    <w:rsid w:val="00F6726B"/>
    <w:rsid w:val="00F67E85"/>
    <w:rsid w:val="00F70670"/>
    <w:rsid w:val="00F70EB1"/>
    <w:rsid w:val="00F7329D"/>
    <w:rsid w:val="00F73601"/>
    <w:rsid w:val="00F73830"/>
    <w:rsid w:val="00F75984"/>
    <w:rsid w:val="00F75C7F"/>
    <w:rsid w:val="00F7608D"/>
    <w:rsid w:val="00F769CB"/>
    <w:rsid w:val="00F77B64"/>
    <w:rsid w:val="00F8247F"/>
    <w:rsid w:val="00F8321E"/>
    <w:rsid w:val="00F84049"/>
    <w:rsid w:val="00F84398"/>
    <w:rsid w:val="00F846EE"/>
    <w:rsid w:val="00F86425"/>
    <w:rsid w:val="00F871AD"/>
    <w:rsid w:val="00F876E8"/>
    <w:rsid w:val="00F916BA"/>
    <w:rsid w:val="00F9267F"/>
    <w:rsid w:val="00F929D0"/>
    <w:rsid w:val="00F93C6F"/>
    <w:rsid w:val="00F9454D"/>
    <w:rsid w:val="00FA1CB7"/>
    <w:rsid w:val="00FA3327"/>
    <w:rsid w:val="00FA4160"/>
    <w:rsid w:val="00FA4235"/>
    <w:rsid w:val="00FA4787"/>
    <w:rsid w:val="00FA647B"/>
    <w:rsid w:val="00FA7DFD"/>
    <w:rsid w:val="00FB064F"/>
    <w:rsid w:val="00FB0817"/>
    <w:rsid w:val="00FB1123"/>
    <w:rsid w:val="00FB1485"/>
    <w:rsid w:val="00FB19B5"/>
    <w:rsid w:val="00FB1F50"/>
    <w:rsid w:val="00FB1FBF"/>
    <w:rsid w:val="00FB32DD"/>
    <w:rsid w:val="00FB37B0"/>
    <w:rsid w:val="00FB38F0"/>
    <w:rsid w:val="00FB5C34"/>
    <w:rsid w:val="00FB76F7"/>
    <w:rsid w:val="00FC0776"/>
    <w:rsid w:val="00FC29DA"/>
    <w:rsid w:val="00FC4AF3"/>
    <w:rsid w:val="00FC589D"/>
    <w:rsid w:val="00FC64D3"/>
    <w:rsid w:val="00FC65B8"/>
    <w:rsid w:val="00FC7398"/>
    <w:rsid w:val="00FD03F0"/>
    <w:rsid w:val="00FD6218"/>
    <w:rsid w:val="00FD638B"/>
    <w:rsid w:val="00FD7719"/>
    <w:rsid w:val="00FD7D76"/>
    <w:rsid w:val="00FE1655"/>
    <w:rsid w:val="00FE1B46"/>
    <w:rsid w:val="00FE355E"/>
    <w:rsid w:val="00FE35CE"/>
    <w:rsid w:val="00FE4D0A"/>
    <w:rsid w:val="00FF0C62"/>
    <w:rsid w:val="00FF221B"/>
    <w:rsid w:val="00FF26C8"/>
    <w:rsid w:val="00FF3BAD"/>
    <w:rsid w:val="00FF3F2E"/>
    <w:rsid w:val="00FF3F7D"/>
    <w:rsid w:val="00FF6018"/>
    <w:rsid w:val="00FF7A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7029DC"/>
  <w15:chartTrackingRefBased/>
  <w15:docId w15:val="{E6320911-DC3A-4BA7-875A-9A8DC8F7B8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Calibr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46443"/>
    <w:pPr>
      <w:spacing w:line="256" w:lineRule="auto"/>
    </w:pPr>
    <w:rPr>
      <w:rFonts w:ascii="Times New Roman" w:hAnsi="Times New Roman" w:cs="Times New Roman"/>
      <w:sz w:val="24"/>
      <w:lang w:val="en-GB"/>
    </w:rPr>
  </w:style>
  <w:style w:type="paragraph" w:styleId="Heading1">
    <w:name w:val="heading 1"/>
    <w:basedOn w:val="Normal"/>
    <w:next w:val="Normal"/>
    <w:link w:val="Heading1Char"/>
    <w:uiPriority w:val="9"/>
    <w:qFormat/>
    <w:rsid w:val="003317AE"/>
    <w:pPr>
      <w:keepNext/>
      <w:keepLines/>
      <w:spacing w:before="480" w:after="0" w:line="276" w:lineRule="auto"/>
      <w:outlineLvl w:val="0"/>
    </w:pPr>
    <w:rPr>
      <w:rFonts w:asciiTheme="majorHAnsi" w:eastAsiaTheme="majorEastAsia" w:hAnsiTheme="majorHAnsi" w:cstheme="majorBidi"/>
      <w:b/>
      <w:bCs/>
      <w:color w:val="2F5496" w:themeColor="accent1" w:themeShade="BF"/>
      <w:sz w:val="28"/>
      <w:szCs w:val="2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C4644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46443"/>
    <w:rPr>
      <w:rFonts w:ascii="Times New Roman" w:hAnsi="Times New Roman" w:cs="Times New Roman"/>
      <w:sz w:val="20"/>
      <w:szCs w:val="20"/>
      <w:lang w:val="en-GB"/>
    </w:rPr>
  </w:style>
  <w:style w:type="numbering" w:customStyle="1" w:styleId="NoList1">
    <w:name w:val="No List1"/>
    <w:next w:val="NoList"/>
    <w:uiPriority w:val="99"/>
    <w:semiHidden/>
    <w:unhideWhenUsed/>
    <w:rsid w:val="005125F6"/>
  </w:style>
  <w:style w:type="character" w:customStyle="1" w:styleId="DefaultPara">
    <w:name w:val="Default Para"/>
    <w:uiPriority w:val="99"/>
    <w:rsid w:val="005125F6"/>
  </w:style>
  <w:style w:type="character" w:customStyle="1" w:styleId="FootnoteRef">
    <w:name w:val="Footnote Ref"/>
    <w:uiPriority w:val="99"/>
    <w:rsid w:val="005125F6"/>
  </w:style>
  <w:style w:type="paragraph" w:styleId="Header">
    <w:name w:val="header"/>
    <w:basedOn w:val="Normal"/>
    <w:link w:val="HeaderChar"/>
    <w:uiPriority w:val="99"/>
    <w:unhideWhenUsed/>
    <w:rsid w:val="005125F6"/>
    <w:pPr>
      <w:widowControl w:val="0"/>
      <w:tabs>
        <w:tab w:val="center" w:pos="4680"/>
        <w:tab w:val="right" w:pos="9360"/>
      </w:tabs>
      <w:autoSpaceDE w:val="0"/>
      <w:autoSpaceDN w:val="0"/>
      <w:adjustRightInd w:val="0"/>
      <w:spacing w:after="0" w:line="240" w:lineRule="auto"/>
    </w:pPr>
    <w:rPr>
      <w:rFonts w:eastAsiaTheme="minorEastAsia"/>
      <w:sz w:val="20"/>
      <w:szCs w:val="20"/>
      <w:lang w:val="en-US"/>
    </w:rPr>
  </w:style>
  <w:style w:type="character" w:customStyle="1" w:styleId="HeaderChar">
    <w:name w:val="Header Char"/>
    <w:basedOn w:val="DefaultParagraphFont"/>
    <w:link w:val="Header"/>
    <w:uiPriority w:val="99"/>
    <w:rsid w:val="005125F6"/>
    <w:rPr>
      <w:rFonts w:ascii="Times New Roman" w:eastAsiaTheme="minorEastAsia" w:hAnsi="Times New Roman" w:cs="Times New Roman"/>
      <w:sz w:val="20"/>
      <w:szCs w:val="20"/>
    </w:rPr>
  </w:style>
  <w:style w:type="paragraph" w:styleId="Footer">
    <w:name w:val="footer"/>
    <w:basedOn w:val="Normal"/>
    <w:link w:val="FooterChar"/>
    <w:uiPriority w:val="99"/>
    <w:unhideWhenUsed/>
    <w:rsid w:val="005125F6"/>
    <w:pPr>
      <w:widowControl w:val="0"/>
      <w:tabs>
        <w:tab w:val="center" w:pos="4680"/>
        <w:tab w:val="right" w:pos="9360"/>
      </w:tabs>
      <w:autoSpaceDE w:val="0"/>
      <w:autoSpaceDN w:val="0"/>
      <w:adjustRightInd w:val="0"/>
      <w:spacing w:after="0" w:line="240" w:lineRule="auto"/>
    </w:pPr>
    <w:rPr>
      <w:rFonts w:eastAsiaTheme="minorEastAsia"/>
      <w:sz w:val="20"/>
      <w:szCs w:val="20"/>
      <w:lang w:val="en-US"/>
    </w:rPr>
  </w:style>
  <w:style w:type="character" w:customStyle="1" w:styleId="FooterChar">
    <w:name w:val="Footer Char"/>
    <w:basedOn w:val="DefaultParagraphFont"/>
    <w:link w:val="Footer"/>
    <w:uiPriority w:val="99"/>
    <w:rsid w:val="005125F6"/>
    <w:rPr>
      <w:rFonts w:ascii="Times New Roman" w:eastAsiaTheme="minorEastAsia" w:hAnsi="Times New Roman" w:cs="Times New Roman"/>
      <w:sz w:val="20"/>
      <w:szCs w:val="20"/>
    </w:rPr>
  </w:style>
  <w:style w:type="numbering" w:customStyle="1" w:styleId="NoList2">
    <w:name w:val="No List2"/>
    <w:next w:val="NoList"/>
    <w:uiPriority w:val="99"/>
    <w:semiHidden/>
    <w:unhideWhenUsed/>
    <w:rsid w:val="007C3934"/>
  </w:style>
  <w:style w:type="character" w:styleId="FootnoteReference">
    <w:name w:val="footnote reference"/>
    <w:basedOn w:val="DefaultParagraphFont"/>
    <w:uiPriority w:val="99"/>
    <w:unhideWhenUsed/>
    <w:rsid w:val="004170A5"/>
    <w:rPr>
      <w:vertAlign w:val="superscript"/>
    </w:rPr>
  </w:style>
  <w:style w:type="paragraph" w:styleId="EndnoteText">
    <w:name w:val="endnote text"/>
    <w:basedOn w:val="Normal"/>
    <w:link w:val="EndnoteTextChar"/>
    <w:uiPriority w:val="99"/>
    <w:semiHidden/>
    <w:unhideWhenUsed/>
    <w:rsid w:val="00AA043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AA0436"/>
    <w:rPr>
      <w:rFonts w:ascii="Times New Roman" w:hAnsi="Times New Roman" w:cs="Times New Roman"/>
      <w:sz w:val="20"/>
      <w:szCs w:val="20"/>
      <w:lang w:val="en-GB"/>
    </w:rPr>
  </w:style>
  <w:style w:type="character" w:styleId="EndnoteReference">
    <w:name w:val="endnote reference"/>
    <w:basedOn w:val="DefaultParagraphFont"/>
    <w:uiPriority w:val="99"/>
    <w:semiHidden/>
    <w:unhideWhenUsed/>
    <w:rsid w:val="00AA0436"/>
    <w:rPr>
      <w:vertAlign w:val="superscript"/>
    </w:rPr>
  </w:style>
  <w:style w:type="character" w:styleId="Hyperlink">
    <w:name w:val="Hyperlink"/>
    <w:basedOn w:val="DefaultParagraphFont"/>
    <w:uiPriority w:val="99"/>
    <w:unhideWhenUsed/>
    <w:rsid w:val="00F929D0"/>
    <w:rPr>
      <w:color w:val="0563C1" w:themeColor="hyperlink"/>
      <w:u w:val="single"/>
    </w:rPr>
  </w:style>
  <w:style w:type="character" w:customStyle="1" w:styleId="UnresolvedMention">
    <w:name w:val="Unresolved Mention"/>
    <w:basedOn w:val="DefaultParagraphFont"/>
    <w:uiPriority w:val="99"/>
    <w:semiHidden/>
    <w:unhideWhenUsed/>
    <w:rsid w:val="00F929D0"/>
    <w:rPr>
      <w:color w:val="605E5C"/>
      <w:shd w:val="clear" w:color="auto" w:fill="E1DFDD"/>
    </w:rPr>
  </w:style>
  <w:style w:type="character" w:styleId="FollowedHyperlink">
    <w:name w:val="FollowedHyperlink"/>
    <w:basedOn w:val="DefaultParagraphFont"/>
    <w:uiPriority w:val="99"/>
    <w:semiHidden/>
    <w:unhideWhenUsed/>
    <w:rsid w:val="00E64F8C"/>
    <w:rPr>
      <w:color w:val="954F72" w:themeColor="followedHyperlink"/>
      <w:u w:val="single"/>
    </w:rPr>
  </w:style>
  <w:style w:type="character" w:customStyle="1" w:styleId="Date1">
    <w:name w:val="Date1"/>
    <w:basedOn w:val="DefaultParagraphFont"/>
    <w:rsid w:val="008977D1"/>
  </w:style>
  <w:style w:type="paragraph" w:styleId="ListParagraph">
    <w:name w:val="List Paragraph"/>
    <w:basedOn w:val="Normal"/>
    <w:uiPriority w:val="34"/>
    <w:qFormat/>
    <w:rsid w:val="004B03A4"/>
    <w:pPr>
      <w:ind w:left="720"/>
      <w:contextualSpacing/>
    </w:pPr>
  </w:style>
  <w:style w:type="character" w:customStyle="1" w:styleId="Heading1Char">
    <w:name w:val="Heading 1 Char"/>
    <w:basedOn w:val="DefaultParagraphFont"/>
    <w:link w:val="Heading1"/>
    <w:uiPriority w:val="9"/>
    <w:rsid w:val="003317AE"/>
    <w:rPr>
      <w:rFonts w:asciiTheme="majorHAnsi" w:eastAsiaTheme="majorEastAsia" w:hAnsiTheme="majorHAnsi" w:cstheme="majorBidi"/>
      <w:b/>
      <w:bCs/>
      <w:color w:val="2F5496" w:themeColor="accent1" w:themeShade="BF"/>
      <w:sz w:val="28"/>
      <w:szCs w:val="28"/>
    </w:rPr>
  </w:style>
  <w:style w:type="numbering" w:customStyle="1" w:styleId="NoList3">
    <w:name w:val="No List3"/>
    <w:next w:val="NoList"/>
    <w:uiPriority w:val="99"/>
    <w:semiHidden/>
    <w:unhideWhenUsed/>
    <w:rsid w:val="003317AE"/>
  </w:style>
  <w:style w:type="paragraph" w:styleId="BalloonText">
    <w:name w:val="Balloon Text"/>
    <w:basedOn w:val="Normal"/>
    <w:link w:val="BalloonTextChar"/>
    <w:uiPriority w:val="99"/>
    <w:semiHidden/>
    <w:unhideWhenUsed/>
    <w:rsid w:val="003317AE"/>
    <w:pPr>
      <w:spacing w:after="0" w:line="240" w:lineRule="auto"/>
    </w:pPr>
    <w:rPr>
      <w:rFonts w:ascii="Tahoma" w:eastAsiaTheme="minorHAnsi" w:hAnsi="Tahoma" w:cs="Tahoma"/>
      <w:sz w:val="16"/>
      <w:szCs w:val="16"/>
      <w:lang w:val="en-US"/>
    </w:rPr>
  </w:style>
  <w:style w:type="character" w:customStyle="1" w:styleId="BalloonTextChar">
    <w:name w:val="Balloon Text Char"/>
    <w:basedOn w:val="DefaultParagraphFont"/>
    <w:link w:val="BalloonText"/>
    <w:uiPriority w:val="99"/>
    <w:semiHidden/>
    <w:rsid w:val="003317AE"/>
    <w:rPr>
      <w:rFonts w:ascii="Tahoma" w:eastAsiaTheme="minorHAnsi" w:hAnsi="Tahoma" w:cs="Tahoma"/>
      <w:sz w:val="16"/>
      <w:szCs w:val="16"/>
    </w:rPr>
  </w:style>
  <w:style w:type="character" w:styleId="CommentReference">
    <w:name w:val="annotation reference"/>
    <w:basedOn w:val="DefaultParagraphFont"/>
    <w:uiPriority w:val="99"/>
    <w:semiHidden/>
    <w:unhideWhenUsed/>
    <w:rsid w:val="003317AE"/>
    <w:rPr>
      <w:sz w:val="16"/>
      <w:szCs w:val="16"/>
    </w:rPr>
  </w:style>
  <w:style w:type="paragraph" w:styleId="CommentText">
    <w:name w:val="annotation text"/>
    <w:basedOn w:val="Normal"/>
    <w:link w:val="CommentTextChar"/>
    <w:uiPriority w:val="99"/>
    <w:semiHidden/>
    <w:unhideWhenUsed/>
    <w:rsid w:val="003317AE"/>
    <w:pPr>
      <w:spacing w:after="200" w:line="240" w:lineRule="auto"/>
    </w:pPr>
    <w:rPr>
      <w:rFonts w:asciiTheme="minorHAnsi" w:eastAsiaTheme="minorHAnsi" w:hAnsiTheme="minorHAnsi" w:cstheme="minorBidi"/>
      <w:sz w:val="20"/>
      <w:szCs w:val="20"/>
      <w:lang w:val="en-US"/>
    </w:rPr>
  </w:style>
  <w:style w:type="character" w:customStyle="1" w:styleId="CommentTextChar">
    <w:name w:val="Comment Text Char"/>
    <w:basedOn w:val="DefaultParagraphFont"/>
    <w:link w:val="CommentText"/>
    <w:uiPriority w:val="99"/>
    <w:semiHidden/>
    <w:rsid w:val="003317AE"/>
    <w:rPr>
      <w:rFonts w:eastAsiaTheme="minorHAnsi"/>
      <w:sz w:val="20"/>
      <w:szCs w:val="20"/>
    </w:rPr>
  </w:style>
  <w:style w:type="paragraph" w:styleId="CommentSubject">
    <w:name w:val="annotation subject"/>
    <w:basedOn w:val="CommentText"/>
    <w:next w:val="CommentText"/>
    <w:link w:val="CommentSubjectChar"/>
    <w:uiPriority w:val="99"/>
    <w:semiHidden/>
    <w:unhideWhenUsed/>
    <w:rsid w:val="003317AE"/>
    <w:rPr>
      <w:b/>
      <w:bCs/>
    </w:rPr>
  </w:style>
  <w:style w:type="character" w:customStyle="1" w:styleId="CommentSubjectChar">
    <w:name w:val="Comment Subject Char"/>
    <w:basedOn w:val="CommentTextChar"/>
    <w:link w:val="CommentSubject"/>
    <w:uiPriority w:val="99"/>
    <w:semiHidden/>
    <w:rsid w:val="003317AE"/>
    <w:rPr>
      <w:rFonts w:eastAsiaTheme="minorHAnsi"/>
      <w:b/>
      <w:bCs/>
      <w:sz w:val="20"/>
      <w:szCs w:val="20"/>
    </w:rPr>
  </w:style>
  <w:style w:type="paragraph" w:styleId="Revision">
    <w:name w:val="Revision"/>
    <w:hidden/>
    <w:uiPriority w:val="99"/>
    <w:semiHidden/>
    <w:rsid w:val="003317AE"/>
    <w:pPr>
      <w:spacing w:after="0" w:line="240" w:lineRule="auto"/>
    </w:pPr>
    <w:rPr>
      <w:rFonts w:eastAsia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9282687">
      <w:bodyDiv w:val="1"/>
      <w:marLeft w:val="0"/>
      <w:marRight w:val="0"/>
      <w:marTop w:val="0"/>
      <w:marBottom w:val="0"/>
      <w:divBdr>
        <w:top w:val="none" w:sz="0" w:space="0" w:color="auto"/>
        <w:left w:val="none" w:sz="0" w:space="0" w:color="auto"/>
        <w:bottom w:val="none" w:sz="0" w:space="0" w:color="auto"/>
        <w:right w:val="none" w:sz="0" w:space="0" w:color="auto"/>
      </w:divBdr>
    </w:div>
    <w:div w:id="714231011">
      <w:bodyDiv w:val="1"/>
      <w:marLeft w:val="0"/>
      <w:marRight w:val="0"/>
      <w:marTop w:val="0"/>
      <w:marBottom w:val="0"/>
      <w:divBdr>
        <w:top w:val="none" w:sz="0" w:space="0" w:color="auto"/>
        <w:left w:val="none" w:sz="0" w:space="0" w:color="auto"/>
        <w:bottom w:val="none" w:sz="0" w:space="0" w:color="auto"/>
        <w:right w:val="none" w:sz="0" w:space="0" w:color="auto"/>
      </w:divBdr>
    </w:div>
    <w:div w:id="742875432">
      <w:bodyDiv w:val="1"/>
      <w:marLeft w:val="0"/>
      <w:marRight w:val="0"/>
      <w:marTop w:val="0"/>
      <w:marBottom w:val="0"/>
      <w:divBdr>
        <w:top w:val="none" w:sz="0" w:space="0" w:color="auto"/>
        <w:left w:val="none" w:sz="0" w:space="0" w:color="auto"/>
        <w:bottom w:val="none" w:sz="0" w:space="0" w:color="auto"/>
        <w:right w:val="none" w:sz="0" w:space="0" w:color="auto"/>
      </w:divBdr>
    </w:div>
    <w:div w:id="755908060">
      <w:bodyDiv w:val="1"/>
      <w:marLeft w:val="0"/>
      <w:marRight w:val="0"/>
      <w:marTop w:val="0"/>
      <w:marBottom w:val="0"/>
      <w:divBdr>
        <w:top w:val="none" w:sz="0" w:space="0" w:color="auto"/>
        <w:left w:val="none" w:sz="0" w:space="0" w:color="auto"/>
        <w:bottom w:val="none" w:sz="0" w:space="0" w:color="auto"/>
        <w:right w:val="none" w:sz="0" w:space="0" w:color="auto"/>
      </w:divBdr>
    </w:div>
    <w:div w:id="805437654">
      <w:bodyDiv w:val="1"/>
      <w:marLeft w:val="0"/>
      <w:marRight w:val="0"/>
      <w:marTop w:val="0"/>
      <w:marBottom w:val="0"/>
      <w:divBdr>
        <w:top w:val="none" w:sz="0" w:space="0" w:color="auto"/>
        <w:left w:val="none" w:sz="0" w:space="0" w:color="auto"/>
        <w:bottom w:val="none" w:sz="0" w:space="0" w:color="auto"/>
        <w:right w:val="none" w:sz="0" w:space="0" w:color="auto"/>
      </w:divBdr>
    </w:div>
    <w:div w:id="897279417">
      <w:bodyDiv w:val="1"/>
      <w:marLeft w:val="0"/>
      <w:marRight w:val="0"/>
      <w:marTop w:val="0"/>
      <w:marBottom w:val="0"/>
      <w:divBdr>
        <w:top w:val="none" w:sz="0" w:space="0" w:color="auto"/>
        <w:left w:val="none" w:sz="0" w:space="0" w:color="auto"/>
        <w:bottom w:val="none" w:sz="0" w:space="0" w:color="auto"/>
        <w:right w:val="none" w:sz="0" w:space="0" w:color="auto"/>
      </w:divBdr>
    </w:div>
    <w:div w:id="997347693">
      <w:bodyDiv w:val="1"/>
      <w:marLeft w:val="0"/>
      <w:marRight w:val="0"/>
      <w:marTop w:val="0"/>
      <w:marBottom w:val="0"/>
      <w:divBdr>
        <w:top w:val="none" w:sz="0" w:space="0" w:color="auto"/>
        <w:left w:val="none" w:sz="0" w:space="0" w:color="auto"/>
        <w:bottom w:val="none" w:sz="0" w:space="0" w:color="auto"/>
        <w:right w:val="none" w:sz="0" w:space="0" w:color="auto"/>
      </w:divBdr>
    </w:div>
    <w:div w:id="1283262857">
      <w:bodyDiv w:val="1"/>
      <w:marLeft w:val="0"/>
      <w:marRight w:val="0"/>
      <w:marTop w:val="0"/>
      <w:marBottom w:val="0"/>
      <w:divBdr>
        <w:top w:val="none" w:sz="0" w:space="0" w:color="auto"/>
        <w:left w:val="none" w:sz="0" w:space="0" w:color="auto"/>
        <w:bottom w:val="none" w:sz="0" w:space="0" w:color="auto"/>
        <w:right w:val="none" w:sz="0" w:space="0" w:color="auto"/>
      </w:divBdr>
    </w:div>
    <w:div w:id="1562130112">
      <w:bodyDiv w:val="1"/>
      <w:marLeft w:val="0"/>
      <w:marRight w:val="0"/>
      <w:marTop w:val="0"/>
      <w:marBottom w:val="0"/>
      <w:divBdr>
        <w:top w:val="none" w:sz="0" w:space="0" w:color="auto"/>
        <w:left w:val="none" w:sz="0" w:space="0" w:color="auto"/>
        <w:bottom w:val="none" w:sz="0" w:space="0" w:color="auto"/>
        <w:right w:val="none" w:sz="0" w:space="0" w:color="auto"/>
      </w:divBdr>
    </w:div>
    <w:div w:id="1655064829">
      <w:bodyDiv w:val="1"/>
      <w:marLeft w:val="0"/>
      <w:marRight w:val="0"/>
      <w:marTop w:val="0"/>
      <w:marBottom w:val="0"/>
      <w:divBdr>
        <w:top w:val="none" w:sz="0" w:space="0" w:color="auto"/>
        <w:left w:val="none" w:sz="0" w:space="0" w:color="auto"/>
        <w:bottom w:val="none" w:sz="0" w:space="0" w:color="auto"/>
        <w:right w:val="none" w:sz="0" w:space="0" w:color="auto"/>
      </w:divBdr>
    </w:div>
    <w:div w:id="1867861572">
      <w:bodyDiv w:val="1"/>
      <w:marLeft w:val="0"/>
      <w:marRight w:val="0"/>
      <w:marTop w:val="0"/>
      <w:marBottom w:val="0"/>
      <w:divBdr>
        <w:top w:val="none" w:sz="0" w:space="0" w:color="auto"/>
        <w:left w:val="none" w:sz="0" w:space="0" w:color="auto"/>
        <w:bottom w:val="none" w:sz="0" w:space="0" w:color="auto"/>
        <w:right w:val="none" w:sz="0" w:space="0" w:color="auto"/>
      </w:divBdr>
    </w:div>
    <w:div w:id="1966619561">
      <w:bodyDiv w:val="1"/>
      <w:marLeft w:val="0"/>
      <w:marRight w:val="0"/>
      <w:marTop w:val="0"/>
      <w:marBottom w:val="0"/>
      <w:divBdr>
        <w:top w:val="none" w:sz="0" w:space="0" w:color="auto"/>
        <w:left w:val="none" w:sz="0" w:space="0" w:color="auto"/>
        <w:bottom w:val="none" w:sz="0" w:space="0" w:color="auto"/>
        <w:right w:val="none" w:sz="0" w:space="0" w:color="auto"/>
      </w:divBdr>
    </w:div>
    <w:div w:id="2016615953">
      <w:bodyDiv w:val="1"/>
      <w:marLeft w:val="0"/>
      <w:marRight w:val="0"/>
      <w:marTop w:val="0"/>
      <w:marBottom w:val="0"/>
      <w:divBdr>
        <w:top w:val="none" w:sz="0" w:space="0" w:color="auto"/>
        <w:left w:val="none" w:sz="0" w:space="0" w:color="auto"/>
        <w:bottom w:val="none" w:sz="0" w:space="0" w:color="auto"/>
        <w:right w:val="none" w:sz="0" w:space="0" w:color="auto"/>
      </w:divBdr>
    </w:div>
    <w:div w:id="2043705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oi.org/10.2307/1357469" TargetMode="External"/><Relationship Id="rId18" Type="http://schemas.openxmlformats.org/officeDocument/2006/relationships/hyperlink" Target="https://doi.org/10.1306/74D71410-2B21-11D7-8648000102C1865D" TargetMode="External"/><Relationship Id="rId26" Type="http://schemas.openxmlformats.org/officeDocument/2006/relationships/hyperlink" Target="https://www.nrc.gov/docs/ML0317/ML031760791.pdf" TargetMode="External"/><Relationship Id="rId39" Type="http://schemas.openxmlformats.org/officeDocument/2006/relationships/theme" Target="theme/theme1.xml"/><Relationship Id="rId21" Type="http://schemas.openxmlformats.org/officeDocument/2006/relationships/hyperlink" Target="https://pubs.usgs.gov/bul/1582/report.pdf" TargetMode="External"/><Relationship Id="rId34" Type="http://schemas.openxmlformats.org/officeDocument/2006/relationships/hyperlink" Target="https://pubs.usgs.gov/gip/usgsmaps/usgsmaps.html" TargetMode="Externa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yperlink" Target="https://doi.org/10.1007/BF02047430" TargetMode="External"/><Relationship Id="rId25" Type="http://schemas.openxmlformats.org/officeDocument/2006/relationships/hyperlink" Target="https://doi.org/10.1080/15567036.2014.967418" TargetMode="External"/><Relationship Id="rId33" Type="http://schemas.openxmlformats.org/officeDocument/2006/relationships/hyperlink" Target="https://minerals.cr.usgs.gov/gips/na/5process.html"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doi.org/10.1016/0166-5162(91)90033-F" TargetMode="External"/><Relationship Id="rId20" Type="http://schemas.openxmlformats.org/officeDocument/2006/relationships/hyperlink" Target="https://doi.org/10.1016/0016-7037(67)90043-9" TargetMode="External"/><Relationship Id="rId29" Type="http://schemas.openxmlformats.org/officeDocument/2006/relationships/hyperlink" Target="http://weppi.gtk.fi/publ/foregsatlas/article.php?id=3"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rchaeometry.missouri.edu" TargetMode="External"/><Relationship Id="rId24" Type="http://schemas.openxmlformats.org/officeDocument/2006/relationships/hyperlink" Target="https://doi.org/10.1016/j.jafrearsci.2017.05.008" TargetMode="External"/><Relationship Id="rId32" Type="http://schemas.openxmlformats.org/officeDocument/2006/relationships/hyperlink" Target="https://www.science.gov/topicpages/i/icp-ms+method+development" TargetMode="External"/><Relationship Id="rId37" Type="http://schemas.openxmlformats.org/officeDocument/2006/relationships/hyperlink" Target="https://theconversation.com/how-we-used-a-century-of-data-to-create-a-modern-digital-geologic-map-of-alaska-53917" TargetMode="External"/><Relationship Id="rId5" Type="http://schemas.openxmlformats.org/officeDocument/2006/relationships/webSettings" Target="webSettings.xml"/><Relationship Id="rId15" Type="http://schemas.openxmlformats.org/officeDocument/2006/relationships/hyperlink" Target="https://doi.org/10.1016/S0037-0738(97)00034-1" TargetMode="External"/><Relationship Id="rId23" Type="http://schemas.openxmlformats.org/officeDocument/2006/relationships/hyperlink" Target="https://doi.org/10.1111/j.1365-3091.1993.tb01759.x" TargetMode="External"/><Relationship Id="rId28" Type="http://schemas.openxmlformats.org/officeDocument/2006/relationships/hyperlink" Target="https://www.researchgate.net/publication/275337571_Understanding_the_Behaviour_of_Rare_Earth_Elements_in_Minerals_and_Rocks" TargetMode="External"/><Relationship Id="rId36" Type="http://schemas.openxmlformats.org/officeDocument/2006/relationships/hyperlink" Target="https://doi.org/10.1016/j.epsl.2018.08.019" TargetMode="External"/><Relationship Id="rId10" Type="http://schemas.openxmlformats.org/officeDocument/2006/relationships/hyperlink" Target="http://www.archaeometry.missouri.edu" TargetMode="External"/><Relationship Id="rId19" Type="http://schemas.openxmlformats.org/officeDocument/2006/relationships/hyperlink" Target="https://doi.org/10.1016/0037-0738(93)90026-2" TargetMode="External"/><Relationship Id="rId31" Type="http://schemas.openxmlformats.org/officeDocument/2006/relationships/hyperlink" Target="https://doi.org/10.1180/minmag.1994.058.393.01" TargetMode="External"/><Relationship Id="rId4" Type="http://schemas.openxmlformats.org/officeDocument/2006/relationships/settings" Target="settings.xml"/><Relationship Id="rId9" Type="http://schemas.openxmlformats.org/officeDocument/2006/relationships/hyperlink" Target="https://www.penn.museum/sites/biomoleculararchaeology/?page_id=435" TargetMode="External"/><Relationship Id="rId14" Type="http://schemas.openxmlformats.org/officeDocument/2006/relationships/hyperlink" Target="https://doi.org/10.1016/0012-821X(84)90102-X" TargetMode="External"/><Relationship Id="rId22" Type="http://schemas.openxmlformats.org/officeDocument/2006/relationships/hyperlink" Target="https://pubs.usgs.gov/info/clays/clays.pdf" TargetMode="External"/><Relationship Id="rId27" Type="http://schemas.openxmlformats.org/officeDocument/2006/relationships/hyperlink" Target="https://ees.natsci.msu.edu/about/facilities/icp-ms-laboratory/" TargetMode="External"/><Relationship Id="rId30" Type="http://schemas.openxmlformats.org/officeDocument/2006/relationships/hyperlink" Target="https://doi.org/10.1016/0195-6671(82)90014-3" TargetMode="External"/><Relationship Id="rId35" Type="http://schemas.openxmlformats.org/officeDocument/2006/relationships/hyperlink" Target="http://wyoarchaeo.state.wy.us/index.php/about/archaeological-survey/services/petrographic-services/sample-selection-and-submission" TargetMode="External"/><Relationship Id="rId8" Type="http://schemas.openxmlformats.org/officeDocument/2006/relationships/hyperlink" Target="https://www.barpublishing.com/" TargetMode="External"/><Relationship Id="rId3" Type="http://schemas.openxmlformats.org/officeDocument/2006/relationships/styles" Target="styles.xml"/></Relationships>
</file>

<file path=word/_rels/footnotes.xml.rels><?xml version="1.0" encoding="UTF-8" standalone="yes"?>
<Relationships xmlns="http://schemas.openxmlformats.org/package/2006/relationships"><Relationship Id="rId8" Type="http://schemas.openxmlformats.org/officeDocument/2006/relationships/hyperlink" Target="https://www.penn.museum/sites/biomoleculararchaeology/wp-content/uploads/2010/04/UmmelQaab.pdf" TargetMode="External"/><Relationship Id="rId13" Type="http://schemas.openxmlformats.org/officeDocument/2006/relationships/hyperlink" Target="https://www.pnas.org/content/pnas/114/48/E10309.full.pdf?with-ds=yes" TargetMode="External"/><Relationship Id="rId3" Type="http://schemas.openxmlformats.org/officeDocument/2006/relationships/hyperlink" Target="https://www.penn.museum/sites/biomoleculararchaeology/wp-content/uploads/2010/03/Jubahpottery1.pdf" TargetMode="External"/><Relationship Id="rId7" Type="http://schemas.openxmlformats.org/officeDocument/2006/relationships/hyperlink" Target="http://primage.tau.ac.il/libraries/theses/arc/002310094.pdf" TargetMode="External"/><Relationship Id="rId12" Type="http://schemas.openxmlformats.org/officeDocument/2006/relationships/hyperlink" Target="https://www.penn.museum/sites/biomoleculararchaeology/wp-content/uploads/2010/03/AnticancerIJO.pdf" TargetMode="External"/><Relationship Id="rId2" Type="http://schemas.openxmlformats.org/officeDocument/2006/relationships/hyperlink" Target="https://www.penn.museum/sites/biomoleculararchaeology/wp-content/uploads/2010/03/mascajbanchiang.pdf" TargetMode="External"/><Relationship Id="rId16" Type="http://schemas.openxmlformats.org/officeDocument/2006/relationships/hyperlink" Target="https://en.wikipedia.org/wiki/Geologic_time_scale" TargetMode="External"/><Relationship Id="rId1" Type="http://schemas.openxmlformats.org/officeDocument/2006/relationships/hyperlink" Target="https://www.penn.museum/sites/biomoleculararchaeology/wp-content/uploads/2010/04/MASCAJbaqahNAA.pdf" TargetMode="External"/><Relationship Id="rId6" Type="http://schemas.openxmlformats.org/officeDocument/2006/relationships/hyperlink" Target="https://www.penn.museum/sites/biomoleculararchaeology/wp-content/uploads/2010/04/scienceinarchaeology.pdf" TargetMode="External"/><Relationship Id="rId11" Type="http://schemas.openxmlformats.org/officeDocument/2006/relationships/hyperlink" Target="https://www.penn.museum/sites/biomoleculararchaeology/wp-content/uploads/2010/04/PNASEgyptherb.pdf" TargetMode="External"/><Relationship Id="rId5" Type="http://schemas.openxmlformats.org/officeDocument/2006/relationships/hyperlink" Target="https://www.penn.museum/sites/biomoleculararchaeology/wp-content/uploads/2010/04/scienceinarchaeology.pdf" TargetMode="External"/><Relationship Id="rId15" Type="http://schemas.openxmlformats.org/officeDocument/2006/relationships/hyperlink" Target="https://www.astm.org/BOOKSTORE/BOS/index.html" TargetMode="External"/><Relationship Id="rId10" Type="http://schemas.openxmlformats.org/officeDocument/2006/relationships/hyperlink" Target="https://www.penn.museum/sites/biomoleculararchaeology/wp-content/uploads/2010/04/UmmelQaab.pdf" TargetMode="External"/><Relationship Id="rId4" Type="http://schemas.openxmlformats.org/officeDocument/2006/relationships/hyperlink" Target="https://www.penn.museum/sites/biomoleculararchaeology/wp-content/uploads/2010/03/PotterySWAsia1.pdf" TargetMode="External"/><Relationship Id="rId9" Type="http://schemas.openxmlformats.org/officeDocument/2006/relationships/hyperlink" Target="https://www.penn.museum/sites/biomoleculararchaeology/wp-content/uploads/2010/04/The%20Beginnings.pdf" TargetMode="External"/><Relationship Id="rId14" Type="http://schemas.openxmlformats.org/officeDocument/2006/relationships/hyperlink" Target="https://www.iso.org/standards-catalogue/browse-by-ic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9C75FB-3A0B-4948-AFB3-5648E6D071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101</Pages>
  <Words>29015</Words>
  <Characters>165391</Characters>
  <Application>Microsoft Office Word</Application>
  <DocSecurity>0</DocSecurity>
  <Lines>1378</Lines>
  <Paragraphs>388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McGovern, Patrick E</dc:creator>
  <cp:keywords/>
  <dc:description/>
  <cp:lastModifiedBy>Mike Glascock</cp:lastModifiedBy>
  <cp:revision>2</cp:revision>
  <dcterms:created xsi:type="dcterms:W3CDTF">2019-05-20T12:48:00Z</dcterms:created>
  <dcterms:modified xsi:type="dcterms:W3CDTF">2019-05-20T12:48:00Z</dcterms:modified>
</cp:coreProperties>
</file>